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81F6" w14:textId="77777777" w:rsidR="00200B49" w:rsidRPr="00CD7B25"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Приложение № 3.</w:t>
      </w:r>
      <w:r>
        <w:rPr>
          <w:rFonts w:ascii="Times New Roman" w:eastAsia="Times New Roman" w:hAnsi="Times New Roman" w:cs="Times New Roman"/>
          <w:color w:val="000000"/>
          <w:sz w:val="24"/>
          <w:szCs w:val="24"/>
          <w:lang w:eastAsia="ru-RU"/>
        </w:rPr>
        <w:t>3</w:t>
      </w:r>
      <w:r w:rsidRPr="00CD7B2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4F1850E1"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 </w:t>
      </w:r>
      <w:r w:rsidR="0069739E" w:rsidRPr="00AA35A4">
        <w:rPr>
          <w:rFonts w:ascii="Times New Roman" w:eastAsia="Times New Roman" w:hAnsi="Times New Roman" w:cs="Times New Roman"/>
          <w:color w:val="000000"/>
          <w:sz w:val="24"/>
          <w:szCs w:val="24"/>
          <w:lang w:eastAsia="ru-RU"/>
        </w:rPr>
        <w:t xml:space="preserve">30 </w:t>
      </w:r>
      <w:r w:rsidR="000740FA">
        <w:rPr>
          <w:rFonts w:ascii="Times New Roman" w:eastAsia="Times New Roman" w:hAnsi="Times New Roman" w:cs="Times New Roman"/>
          <w:color w:val="000000"/>
          <w:sz w:val="24"/>
          <w:szCs w:val="24"/>
          <w:lang w:eastAsia="ru-RU"/>
        </w:rPr>
        <w:t>декабря 20</w:t>
      </w:r>
      <w:r>
        <w:rPr>
          <w:rFonts w:ascii="Times New Roman" w:eastAsia="Times New Roman" w:hAnsi="Times New Roman" w:cs="Times New Roman"/>
          <w:color w:val="000000"/>
          <w:sz w:val="24"/>
          <w:szCs w:val="24"/>
          <w:lang w:eastAsia="ru-RU"/>
        </w:rPr>
        <w:t>20</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7890DDC1" w14:textId="77777777" w:rsidR="00EB4F4B" w:rsidRPr="00694D3F" w:rsidRDefault="00EB4F4B" w:rsidP="00694D3F">
      <w:pPr>
        <w:pStyle w:val="a8"/>
        <w:jc w:val="center"/>
        <w:rPr>
          <w:rFonts w:ascii="Times New Roman" w:hAnsi="Times New Roman" w:cs="Times New Roman"/>
          <w:b/>
          <w:bCs/>
          <w:sz w:val="24"/>
          <w:szCs w:val="24"/>
        </w:rPr>
      </w:pPr>
      <w:bookmarkStart w:id="0" w:name="_Hlk61096429"/>
      <w:r w:rsidRPr="00694D3F">
        <w:rPr>
          <w:rFonts w:ascii="Times New Roman" w:hAnsi="Times New Roman" w:cs="Times New Roman"/>
          <w:b/>
          <w:bCs/>
          <w:sz w:val="24"/>
          <w:szCs w:val="24"/>
        </w:rPr>
        <w:t>Критерии результативности выполнения целевых показателей медицинских организаций, оказывающих первичную медико-санитарную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bookmarkEnd w:id="0"/>
    <w:p w14:paraId="689827AD" w14:textId="31BC3D6C" w:rsidR="00EB4F4B" w:rsidRDefault="00EB4F4B" w:rsidP="00694D3F">
      <w:pPr>
        <w:pStyle w:val="a8"/>
        <w:jc w:val="center"/>
        <w:rPr>
          <w:rFonts w:ascii="Times New Roman" w:hAnsi="Times New Roman" w:cs="Times New Roman"/>
          <w:b/>
          <w:bCs/>
          <w:sz w:val="24"/>
          <w:szCs w:val="24"/>
        </w:rPr>
      </w:pPr>
      <w:r w:rsidRPr="00694D3F">
        <w:rPr>
          <w:rFonts w:ascii="Times New Roman" w:hAnsi="Times New Roman" w:cs="Times New Roman"/>
          <w:b/>
          <w:bCs/>
          <w:sz w:val="24"/>
          <w:szCs w:val="24"/>
        </w:rPr>
        <w:t>в рамках базовой программы</w:t>
      </w:r>
    </w:p>
    <w:p w14:paraId="1D8D2BB5" w14:textId="17AA173F" w:rsidR="00694D3F" w:rsidRDefault="00694D3F" w:rsidP="00694D3F">
      <w:pPr>
        <w:pStyle w:val="a8"/>
        <w:jc w:val="center"/>
        <w:rPr>
          <w:rFonts w:ascii="Times New Roman" w:hAnsi="Times New Roman" w:cs="Times New Roman"/>
          <w:color w:val="FF0000"/>
          <w:sz w:val="20"/>
          <w:szCs w:val="20"/>
        </w:rPr>
      </w:pPr>
      <w:r w:rsidRPr="00694D3F">
        <w:rPr>
          <w:rFonts w:ascii="Times New Roman" w:hAnsi="Times New Roman" w:cs="Times New Roman"/>
          <w:color w:val="FF0000"/>
          <w:sz w:val="20"/>
          <w:szCs w:val="20"/>
        </w:rPr>
        <w:t>(с изменениями от 16.04.2021г.)</w:t>
      </w:r>
    </w:p>
    <w:p w14:paraId="734A8534" w14:textId="77777777" w:rsidR="00694D3F" w:rsidRPr="00694D3F" w:rsidRDefault="00694D3F" w:rsidP="00694D3F">
      <w:pPr>
        <w:pStyle w:val="a8"/>
        <w:jc w:val="center"/>
        <w:rPr>
          <w:rFonts w:ascii="Times New Roman" w:hAnsi="Times New Roman" w:cs="Times New Roman"/>
          <w:color w:val="FF0000"/>
          <w:sz w:val="20"/>
          <w:szCs w:val="20"/>
        </w:rPr>
      </w:pPr>
    </w:p>
    <w:tbl>
      <w:tblPr>
        <w:tblW w:w="10196" w:type="dxa"/>
        <w:tblInd w:w="118" w:type="dxa"/>
        <w:tblLook w:val="04A0" w:firstRow="1" w:lastRow="0" w:firstColumn="1" w:lastColumn="0" w:noHBand="0" w:noVBand="1"/>
      </w:tblPr>
      <w:tblGrid>
        <w:gridCol w:w="540"/>
        <w:gridCol w:w="2852"/>
        <w:gridCol w:w="2694"/>
        <w:gridCol w:w="1701"/>
        <w:gridCol w:w="719"/>
        <w:gridCol w:w="1690"/>
      </w:tblGrid>
      <w:tr w:rsidR="008F537A" w:rsidRPr="00B02FD1" w14:paraId="06C1865C" w14:textId="77777777" w:rsidTr="005D3185">
        <w:trPr>
          <w:trHeight w:val="485"/>
        </w:trPr>
        <w:tc>
          <w:tcPr>
            <w:tcW w:w="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9E8994E"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п/п</w:t>
            </w:r>
          </w:p>
        </w:tc>
        <w:tc>
          <w:tcPr>
            <w:tcW w:w="2852" w:type="dxa"/>
            <w:tcBorders>
              <w:top w:val="single" w:sz="8" w:space="0" w:color="auto"/>
              <w:left w:val="nil"/>
              <w:bottom w:val="single" w:sz="8" w:space="0" w:color="auto"/>
              <w:right w:val="single" w:sz="4" w:space="0" w:color="auto"/>
            </w:tcBorders>
            <w:shd w:val="clear" w:color="auto" w:fill="auto"/>
            <w:noWrap/>
            <w:vAlign w:val="center"/>
            <w:hideMark/>
          </w:tcPr>
          <w:p w14:paraId="4B4E2039"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Наименование критерия</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14:paraId="0F37113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Ед. измерения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E9C0AAD"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Нормативный показатель</w:t>
            </w:r>
          </w:p>
        </w:tc>
        <w:tc>
          <w:tcPr>
            <w:tcW w:w="719" w:type="dxa"/>
            <w:tcBorders>
              <w:top w:val="single" w:sz="8" w:space="0" w:color="auto"/>
              <w:left w:val="nil"/>
              <w:bottom w:val="single" w:sz="8" w:space="0" w:color="auto"/>
              <w:right w:val="single" w:sz="4" w:space="0" w:color="auto"/>
            </w:tcBorders>
            <w:shd w:val="clear" w:color="auto" w:fill="auto"/>
            <w:vAlign w:val="center"/>
            <w:hideMark/>
          </w:tcPr>
          <w:p w14:paraId="53526251"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Макс. балл</w:t>
            </w:r>
          </w:p>
        </w:tc>
        <w:tc>
          <w:tcPr>
            <w:tcW w:w="1690" w:type="dxa"/>
            <w:tcBorders>
              <w:top w:val="single" w:sz="8" w:space="0" w:color="auto"/>
              <w:left w:val="nil"/>
              <w:bottom w:val="single" w:sz="8" w:space="0" w:color="auto"/>
              <w:right w:val="single" w:sz="8" w:space="0" w:color="auto"/>
            </w:tcBorders>
            <w:shd w:val="clear" w:color="auto" w:fill="auto"/>
            <w:vAlign w:val="center"/>
            <w:hideMark/>
          </w:tcPr>
          <w:p w14:paraId="1A92A49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Шкала баллов</w:t>
            </w:r>
          </w:p>
        </w:tc>
      </w:tr>
      <w:tr w:rsidR="008F537A" w:rsidRPr="00A424B6" w14:paraId="09531406" w14:textId="77777777" w:rsidTr="005D3185">
        <w:trPr>
          <w:trHeight w:val="499"/>
        </w:trPr>
        <w:tc>
          <w:tcPr>
            <w:tcW w:w="10196"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494C25CD"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I. Показатели результативности</w:t>
            </w:r>
          </w:p>
        </w:tc>
      </w:tr>
      <w:tr w:rsidR="008F537A" w:rsidRPr="00B02FD1" w14:paraId="166FA4B2" w14:textId="77777777" w:rsidTr="005D3185">
        <w:trPr>
          <w:trHeight w:val="751"/>
        </w:trPr>
        <w:tc>
          <w:tcPr>
            <w:tcW w:w="5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333E8E5"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2852" w:type="dxa"/>
            <w:tcBorders>
              <w:top w:val="single" w:sz="4" w:space="0" w:color="auto"/>
              <w:left w:val="nil"/>
              <w:bottom w:val="single" w:sz="4" w:space="0" w:color="auto"/>
              <w:right w:val="single" w:sz="4" w:space="0" w:color="auto"/>
            </w:tcBorders>
            <w:shd w:val="clear" w:color="auto" w:fill="auto"/>
            <w:vAlign w:val="center"/>
            <w:hideMark/>
          </w:tcPr>
          <w:p w14:paraId="097A744F"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Уровень госпитализации прикрепленного населения от общей численности прикрепленного населения</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9CCA961"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ед. на 1 </w:t>
            </w:r>
            <w:proofErr w:type="spellStart"/>
            <w:r w:rsidRPr="00A424B6">
              <w:rPr>
                <w:rFonts w:ascii="Times New Roman" w:eastAsia="Times New Roman" w:hAnsi="Times New Roman" w:cs="Times New Roman"/>
                <w:color w:val="FF0000"/>
                <w:sz w:val="20"/>
                <w:szCs w:val="20"/>
                <w:lang w:eastAsia="ru-RU"/>
              </w:rPr>
              <w:t>з.л</w:t>
            </w:r>
            <w:proofErr w:type="spellEnd"/>
            <w:r w:rsidRPr="00A424B6">
              <w:rPr>
                <w:rFonts w:ascii="Times New Roman" w:eastAsia="Times New Roman" w:hAnsi="Times New Roman" w:cs="Times New Roman"/>
                <w:color w:val="FF0000"/>
                <w:sz w:val="20"/>
                <w:szCs w:val="20"/>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B8ACE4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0,162 </w:t>
            </w:r>
            <w:proofErr w:type="spellStart"/>
            <w:r w:rsidRPr="00A424B6">
              <w:rPr>
                <w:rFonts w:ascii="Times New Roman" w:eastAsia="Times New Roman" w:hAnsi="Times New Roman" w:cs="Times New Roman"/>
                <w:color w:val="FF0000"/>
                <w:sz w:val="20"/>
                <w:szCs w:val="20"/>
                <w:lang w:eastAsia="ru-RU"/>
              </w:rPr>
              <w:t>госпит</w:t>
            </w:r>
            <w:proofErr w:type="spellEnd"/>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17190E35"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2</w:t>
            </w:r>
          </w:p>
        </w:tc>
        <w:tc>
          <w:tcPr>
            <w:tcW w:w="1690" w:type="dxa"/>
            <w:tcBorders>
              <w:top w:val="single" w:sz="4" w:space="0" w:color="auto"/>
              <w:left w:val="nil"/>
              <w:bottom w:val="single" w:sz="4" w:space="0" w:color="auto"/>
              <w:right w:val="single" w:sz="8" w:space="0" w:color="auto"/>
            </w:tcBorders>
            <w:shd w:val="clear" w:color="auto" w:fill="auto"/>
            <w:vAlign w:val="center"/>
            <w:hideMark/>
          </w:tcPr>
          <w:p w14:paraId="3742BD94"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0,162 и более - 0 баллов</w:t>
            </w:r>
            <w:r w:rsidRPr="00A424B6">
              <w:rPr>
                <w:rFonts w:ascii="Times New Roman" w:eastAsia="Times New Roman" w:hAnsi="Times New Roman" w:cs="Times New Roman"/>
                <w:color w:val="FF0000"/>
                <w:sz w:val="20"/>
                <w:szCs w:val="20"/>
                <w:lang w:eastAsia="ru-RU"/>
              </w:rPr>
              <w:br/>
              <w:t>0,161-0,120 - 1 балл</w:t>
            </w:r>
            <w:r w:rsidRPr="00A424B6">
              <w:rPr>
                <w:rFonts w:ascii="Times New Roman" w:eastAsia="Times New Roman" w:hAnsi="Times New Roman" w:cs="Times New Roman"/>
                <w:color w:val="FF0000"/>
                <w:sz w:val="20"/>
                <w:szCs w:val="20"/>
                <w:lang w:eastAsia="ru-RU"/>
              </w:rPr>
              <w:br/>
              <w:t>0,119 и менее - 2 балла</w:t>
            </w:r>
          </w:p>
        </w:tc>
      </w:tr>
      <w:tr w:rsidR="008F537A" w:rsidRPr="00B02FD1" w14:paraId="2A5D1859" w14:textId="77777777" w:rsidTr="005D3185">
        <w:trPr>
          <w:trHeight w:val="1212"/>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40DF08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2</w:t>
            </w:r>
          </w:p>
        </w:tc>
        <w:tc>
          <w:tcPr>
            <w:tcW w:w="2852" w:type="dxa"/>
            <w:tcBorders>
              <w:top w:val="nil"/>
              <w:left w:val="nil"/>
              <w:bottom w:val="single" w:sz="4" w:space="0" w:color="auto"/>
              <w:right w:val="single" w:sz="4" w:space="0" w:color="auto"/>
            </w:tcBorders>
            <w:shd w:val="clear" w:color="auto" w:fill="auto"/>
            <w:vAlign w:val="center"/>
            <w:hideMark/>
          </w:tcPr>
          <w:p w14:paraId="35D1E0F5"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Доля экстренных госпитализаций в общем объеме госпитализаций прикрепленного населения</w:t>
            </w:r>
          </w:p>
        </w:tc>
        <w:tc>
          <w:tcPr>
            <w:tcW w:w="2694" w:type="dxa"/>
            <w:tcBorders>
              <w:top w:val="nil"/>
              <w:left w:val="nil"/>
              <w:bottom w:val="single" w:sz="4" w:space="0" w:color="auto"/>
              <w:right w:val="single" w:sz="4" w:space="0" w:color="auto"/>
            </w:tcBorders>
            <w:shd w:val="clear" w:color="auto" w:fill="auto"/>
            <w:vAlign w:val="center"/>
            <w:hideMark/>
          </w:tcPr>
          <w:p w14:paraId="4FAFF66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2C8C169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не более </w:t>
            </w:r>
            <w:r>
              <w:rPr>
                <w:rFonts w:ascii="Times New Roman" w:eastAsia="Times New Roman" w:hAnsi="Times New Roman" w:cs="Times New Roman"/>
                <w:color w:val="FF0000"/>
                <w:sz w:val="20"/>
                <w:szCs w:val="20"/>
                <w:lang w:val="en-US" w:eastAsia="ru-RU"/>
              </w:rPr>
              <w:t>60</w:t>
            </w:r>
            <w:r w:rsidRPr="00A424B6">
              <w:rPr>
                <w:rFonts w:ascii="Times New Roman" w:eastAsia="Times New Roman" w:hAnsi="Times New Roman" w:cs="Times New Roman"/>
                <w:color w:val="FF0000"/>
                <w:sz w:val="20"/>
                <w:szCs w:val="20"/>
                <w:lang w:eastAsia="ru-RU"/>
              </w:rPr>
              <w:t>,0 %</w:t>
            </w:r>
          </w:p>
        </w:tc>
        <w:tc>
          <w:tcPr>
            <w:tcW w:w="719" w:type="dxa"/>
            <w:tcBorders>
              <w:top w:val="nil"/>
              <w:left w:val="nil"/>
              <w:bottom w:val="single" w:sz="4" w:space="0" w:color="auto"/>
              <w:right w:val="single" w:sz="4" w:space="0" w:color="auto"/>
            </w:tcBorders>
            <w:shd w:val="clear" w:color="auto" w:fill="auto"/>
            <w:noWrap/>
            <w:vAlign w:val="center"/>
            <w:hideMark/>
          </w:tcPr>
          <w:p w14:paraId="154ABA61"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6EDCDED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B4EF5">
              <w:rPr>
                <w:rFonts w:ascii="Times New Roman" w:eastAsia="Times New Roman" w:hAnsi="Times New Roman" w:cs="Times New Roman"/>
                <w:color w:val="FF0000"/>
                <w:sz w:val="20"/>
                <w:szCs w:val="20"/>
                <w:lang w:eastAsia="ru-RU"/>
              </w:rPr>
              <w:t>60</w:t>
            </w:r>
            <w:r w:rsidRPr="00A424B6">
              <w:rPr>
                <w:rFonts w:ascii="Times New Roman" w:eastAsia="Times New Roman" w:hAnsi="Times New Roman" w:cs="Times New Roman"/>
                <w:color w:val="FF0000"/>
                <w:sz w:val="20"/>
                <w:szCs w:val="20"/>
                <w:lang w:eastAsia="ru-RU"/>
              </w:rPr>
              <w:t>,0 % и более - 0 баллов</w:t>
            </w:r>
            <w:r w:rsidRPr="00A424B6">
              <w:rPr>
                <w:rFonts w:ascii="Times New Roman" w:eastAsia="Times New Roman" w:hAnsi="Times New Roman" w:cs="Times New Roman"/>
                <w:color w:val="FF0000"/>
                <w:sz w:val="20"/>
                <w:szCs w:val="20"/>
                <w:lang w:eastAsia="ru-RU"/>
              </w:rPr>
              <w:br/>
            </w:r>
            <w:r w:rsidRPr="00AB4EF5">
              <w:rPr>
                <w:rFonts w:ascii="Times New Roman" w:eastAsia="Times New Roman" w:hAnsi="Times New Roman" w:cs="Times New Roman"/>
                <w:color w:val="FF0000"/>
                <w:sz w:val="20"/>
                <w:szCs w:val="20"/>
                <w:lang w:eastAsia="ru-RU"/>
              </w:rPr>
              <w:t>59</w:t>
            </w:r>
            <w:r w:rsidRPr="00A424B6">
              <w:rPr>
                <w:rFonts w:ascii="Times New Roman" w:eastAsia="Times New Roman" w:hAnsi="Times New Roman" w:cs="Times New Roman"/>
                <w:color w:val="FF0000"/>
                <w:sz w:val="20"/>
                <w:szCs w:val="20"/>
                <w:lang w:eastAsia="ru-RU"/>
              </w:rPr>
              <w:t>,9 % и менее - 1 балл</w:t>
            </w:r>
          </w:p>
        </w:tc>
      </w:tr>
      <w:tr w:rsidR="008F537A" w:rsidRPr="00B02FD1" w14:paraId="6D0ECC12" w14:textId="77777777" w:rsidTr="005D3185">
        <w:trPr>
          <w:trHeight w:val="106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07BE420"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3</w:t>
            </w:r>
          </w:p>
        </w:tc>
        <w:tc>
          <w:tcPr>
            <w:tcW w:w="2852" w:type="dxa"/>
            <w:tcBorders>
              <w:top w:val="nil"/>
              <w:left w:val="nil"/>
              <w:bottom w:val="single" w:sz="4" w:space="0" w:color="auto"/>
              <w:right w:val="single" w:sz="4" w:space="0" w:color="auto"/>
            </w:tcBorders>
            <w:shd w:val="clear" w:color="auto" w:fill="auto"/>
            <w:vAlign w:val="center"/>
            <w:hideMark/>
          </w:tcPr>
          <w:p w14:paraId="3BEB78A4"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Частота вызовов скорой МП прикрепленному населению</w:t>
            </w:r>
          </w:p>
        </w:tc>
        <w:tc>
          <w:tcPr>
            <w:tcW w:w="2694" w:type="dxa"/>
            <w:tcBorders>
              <w:top w:val="nil"/>
              <w:left w:val="nil"/>
              <w:bottom w:val="single" w:sz="4" w:space="0" w:color="auto"/>
              <w:right w:val="single" w:sz="4" w:space="0" w:color="auto"/>
            </w:tcBorders>
            <w:shd w:val="clear" w:color="auto" w:fill="auto"/>
            <w:vAlign w:val="center"/>
            <w:hideMark/>
          </w:tcPr>
          <w:p w14:paraId="537FFD5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ед. на 1 тыс. </w:t>
            </w:r>
            <w:proofErr w:type="spellStart"/>
            <w:r w:rsidRPr="00A424B6">
              <w:rPr>
                <w:rFonts w:ascii="Times New Roman" w:eastAsia="Times New Roman" w:hAnsi="Times New Roman" w:cs="Times New Roman"/>
                <w:color w:val="FF0000"/>
                <w:sz w:val="20"/>
                <w:szCs w:val="20"/>
                <w:lang w:eastAsia="ru-RU"/>
              </w:rPr>
              <w:t>прикреп</w:t>
            </w:r>
            <w:proofErr w:type="spellEnd"/>
            <w:r w:rsidRPr="00A424B6">
              <w:rPr>
                <w:rFonts w:ascii="Times New Roman" w:eastAsia="Times New Roman" w:hAnsi="Times New Roman" w:cs="Times New Roman"/>
                <w:color w:val="FF0000"/>
                <w:sz w:val="20"/>
                <w:szCs w:val="20"/>
                <w:lang w:eastAsia="ru-RU"/>
              </w:rPr>
              <w:t>. насел</w:t>
            </w:r>
          </w:p>
        </w:tc>
        <w:tc>
          <w:tcPr>
            <w:tcW w:w="1701" w:type="dxa"/>
            <w:tcBorders>
              <w:top w:val="nil"/>
              <w:left w:val="nil"/>
              <w:bottom w:val="single" w:sz="4" w:space="0" w:color="auto"/>
              <w:right w:val="single" w:sz="4" w:space="0" w:color="auto"/>
            </w:tcBorders>
            <w:shd w:val="clear" w:color="auto" w:fill="auto"/>
            <w:vAlign w:val="center"/>
            <w:hideMark/>
          </w:tcPr>
          <w:p w14:paraId="7026398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285,0 </w:t>
            </w:r>
            <w:r w:rsidRPr="00A424B6">
              <w:rPr>
                <w:rFonts w:ascii="Times New Roman" w:eastAsia="Times New Roman" w:hAnsi="Times New Roman" w:cs="Times New Roman"/>
                <w:color w:val="FF0000"/>
                <w:sz w:val="20"/>
                <w:szCs w:val="20"/>
                <w:lang w:eastAsia="ru-RU"/>
              </w:rPr>
              <w:br/>
              <w:t>вызова СП</w:t>
            </w:r>
          </w:p>
        </w:tc>
        <w:tc>
          <w:tcPr>
            <w:tcW w:w="719" w:type="dxa"/>
            <w:tcBorders>
              <w:top w:val="nil"/>
              <w:left w:val="nil"/>
              <w:bottom w:val="single" w:sz="4" w:space="0" w:color="auto"/>
              <w:right w:val="single" w:sz="4" w:space="0" w:color="auto"/>
            </w:tcBorders>
            <w:shd w:val="clear" w:color="auto" w:fill="auto"/>
            <w:noWrap/>
            <w:vAlign w:val="center"/>
            <w:hideMark/>
          </w:tcPr>
          <w:p w14:paraId="057920B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12E818D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285,0 и более - 0 баллов</w:t>
            </w:r>
            <w:r w:rsidRPr="00A424B6">
              <w:rPr>
                <w:rFonts w:ascii="Times New Roman" w:eastAsia="Times New Roman" w:hAnsi="Times New Roman" w:cs="Times New Roman"/>
                <w:color w:val="FF0000"/>
                <w:sz w:val="20"/>
                <w:szCs w:val="20"/>
                <w:lang w:eastAsia="ru-RU"/>
              </w:rPr>
              <w:br/>
              <w:t>284,9 и менее - 1 балл</w:t>
            </w:r>
          </w:p>
        </w:tc>
      </w:tr>
      <w:tr w:rsidR="008F537A" w:rsidRPr="00B02FD1" w14:paraId="6FCD8B0E" w14:textId="77777777" w:rsidTr="005D3185">
        <w:trPr>
          <w:trHeight w:val="1752"/>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B7BD0E"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4</w:t>
            </w:r>
          </w:p>
        </w:tc>
        <w:tc>
          <w:tcPr>
            <w:tcW w:w="2852" w:type="dxa"/>
            <w:tcBorders>
              <w:top w:val="nil"/>
              <w:left w:val="nil"/>
              <w:bottom w:val="single" w:sz="4" w:space="0" w:color="auto"/>
              <w:right w:val="single" w:sz="4" w:space="0" w:color="auto"/>
            </w:tcBorders>
            <w:shd w:val="clear" w:color="auto" w:fill="auto"/>
            <w:vAlign w:val="center"/>
            <w:hideMark/>
          </w:tcPr>
          <w:p w14:paraId="02DCBF4C"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Доля пациентов с впервые установленной I-II стадией ЗНО всех локализаций в общем числе пациентов с впервые в жизни установленным диагнозом ЗНО </w:t>
            </w:r>
          </w:p>
        </w:tc>
        <w:tc>
          <w:tcPr>
            <w:tcW w:w="2694" w:type="dxa"/>
            <w:tcBorders>
              <w:top w:val="nil"/>
              <w:left w:val="nil"/>
              <w:bottom w:val="single" w:sz="4" w:space="0" w:color="auto"/>
              <w:right w:val="single" w:sz="4" w:space="0" w:color="auto"/>
            </w:tcBorders>
            <w:shd w:val="clear" w:color="auto" w:fill="auto"/>
            <w:vAlign w:val="center"/>
            <w:hideMark/>
          </w:tcPr>
          <w:p w14:paraId="69A367CD"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3CD20F39"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не менее 50,0 %</w:t>
            </w:r>
          </w:p>
        </w:tc>
        <w:tc>
          <w:tcPr>
            <w:tcW w:w="719" w:type="dxa"/>
            <w:tcBorders>
              <w:top w:val="nil"/>
              <w:left w:val="nil"/>
              <w:bottom w:val="single" w:sz="4" w:space="0" w:color="auto"/>
              <w:right w:val="single" w:sz="4" w:space="0" w:color="auto"/>
            </w:tcBorders>
            <w:shd w:val="clear" w:color="auto" w:fill="auto"/>
            <w:noWrap/>
            <w:vAlign w:val="center"/>
            <w:hideMark/>
          </w:tcPr>
          <w:p w14:paraId="619ECFD4"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2497D4D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50,0 % и более - 1 балл</w:t>
            </w:r>
            <w:r w:rsidRPr="00A424B6">
              <w:rPr>
                <w:rFonts w:ascii="Times New Roman" w:eastAsia="Times New Roman" w:hAnsi="Times New Roman" w:cs="Times New Roman"/>
                <w:color w:val="FF0000"/>
                <w:sz w:val="20"/>
                <w:szCs w:val="20"/>
                <w:lang w:eastAsia="ru-RU"/>
              </w:rPr>
              <w:br/>
              <w:t>49,9 % и менее - 0 баллов</w:t>
            </w:r>
          </w:p>
        </w:tc>
      </w:tr>
      <w:tr w:rsidR="008F537A" w:rsidRPr="00B02FD1" w14:paraId="1BA3B1FA" w14:textId="77777777" w:rsidTr="005D3185">
        <w:trPr>
          <w:trHeight w:val="12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B5C8C7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5</w:t>
            </w:r>
          </w:p>
        </w:tc>
        <w:tc>
          <w:tcPr>
            <w:tcW w:w="2852" w:type="dxa"/>
            <w:tcBorders>
              <w:top w:val="nil"/>
              <w:left w:val="nil"/>
              <w:bottom w:val="single" w:sz="4" w:space="0" w:color="auto"/>
              <w:right w:val="single" w:sz="4" w:space="0" w:color="auto"/>
            </w:tcBorders>
            <w:shd w:val="clear" w:color="auto" w:fill="auto"/>
            <w:vAlign w:val="center"/>
            <w:hideMark/>
          </w:tcPr>
          <w:p w14:paraId="6884F510"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Доля обоснованных жалоб пациентов на работу медицинской организации</w:t>
            </w:r>
          </w:p>
        </w:tc>
        <w:tc>
          <w:tcPr>
            <w:tcW w:w="2694" w:type="dxa"/>
            <w:tcBorders>
              <w:top w:val="nil"/>
              <w:left w:val="nil"/>
              <w:bottom w:val="single" w:sz="4" w:space="0" w:color="auto"/>
              <w:right w:val="single" w:sz="4" w:space="0" w:color="auto"/>
            </w:tcBorders>
            <w:shd w:val="clear" w:color="auto" w:fill="auto"/>
            <w:vAlign w:val="center"/>
            <w:hideMark/>
          </w:tcPr>
          <w:p w14:paraId="4FBA461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ед.</w:t>
            </w:r>
          </w:p>
        </w:tc>
        <w:tc>
          <w:tcPr>
            <w:tcW w:w="1701" w:type="dxa"/>
            <w:tcBorders>
              <w:top w:val="nil"/>
              <w:left w:val="nil"/>
              <w:bottom w:val="single" w:sz="4" w:space="0" w:color="auto"/>
              <w:right w:val="single" w:sz="4" w:space="0" w:color="auto"/>
            </w:tcBorders>
            <w:shd w:val="clear" w:color="auto" w:fill="auto"/>
            <w:vAlign w:val="center"/>
            <w:hideMark/>
          </w:tcPr>
          <w:p w14:paraId="3820EEE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Отсутствие обоснованных жалоб</w:t>
            </w:r>
          </w:p>
        </w:tc>
        <w:tc>
          <w:tcPr>
            <w:tcW w:w="719" w:type="dxa"/>
            <w:tcBorders>
              <w:top w:val="nil"/>
              <w:left w:val="nil"/>
              <w:bottom w:val="single" w:sz="4" w:space="0" w:color="auto"/>
              <w:right w:val="single" w:sz="4" w:space="0" w:color="auto"/>
            </w:tcBorders>
            <w:shd w:val="clear" w:color="auto" w:fill="auto"/>
            <w:noWrap/>
            <w:vAlign w:val="center"/>
            <w:hideMark/>
          </w:tcPr>
          <w:p w14:paraId="6279CD0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nil"/>
              <w:right w:val="single" w:sz="8" w:space="0" w:color="auto"/>
            </w:tcBorders>
            <w:shd w:val="clear" w:color="auto" w:fill="auto"/>
            <w:vAlign w:val="center"/>
            <w:hideMark/>
          </w:tcPr>
          <w:p w14:paraId="75BAD5A9"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наличие 1 и более обоснованной жалобы - 0 баллов</w:t>
            </w:r>
            <w:r w:rsidRPr="00A424B6">
              <w:rPr>
                <w:rFonts w:ascii="Times New Roman" w:eastAsia="Times New Roman" w:hAnsi="Times New Roman" w:cs="Times New Roman"/>
                <w:color w:val="FF0000"/>
                <w:sz w:val="20"/>
                <w:szCs w:val="20"/>
                <w:lang w:eastAsia="ru-RU"/>
              </w:rPr>
              <w:br/>
              <w:t xml:space="preserve">отсутствие обоснованных </w:t>
            </w:r>
            <w:r w:rsidRPr="00A424B6">
              <w:rPr>
                <w:rFonts w:ascii="Times New Roman" w:eastAsia="Times New Roman" w:hAnsi="Times New Roman" w:cs="Times New Roman"/>
                <w:color w:val="FF0000"/>
                <w:sz w:val="20"/>
                <w:szCs w:val="20"/>
                <w:lang w:eastAsia="ru-RU"/>
              </w:rPr>
              <w:br/>
              <w:t>жалоб - 1 балл</w:t>
            </w:r>
          </w:p>
        </w:tc>
      </w:tr>
      <w:tr w:rsidR="008F537A" w:rsidRPr="00B02FD1" w14:paraId="3AB63F63" w14:textId="77777777" w:rsidTr="005D3185">
        <w:trPr>
          <w:trHeight w:val="1096"/>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1EF87C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6</w:t>
            </w:r>
          </w:p>
        </w:tc>
        <w:tc>
          <w:tcPr>
            <w:tcW w:w="2852" w:type="dxa"/>
            <w:tcBorders>
              <w:top w:val="nil"/>
              <w:left w:val="nil"/>
              <w:bottom w:val="single" w:sz="4" w:space="0" w:color="auto"/>
              <w:right w:val="single" w:sz="4" w:space="0" w:color="auto"/>
            </w:tcBorders>
            <w:shd w:val="clear" w:color="auto" w:fill="auto"/>
            <w:vAlign w:val="center"/>
            <w:hideMark/>
          </w:tcPr>
          <w:p w14:paraId="0D38D3D5"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Доля посещений по заболеваниям, осуществляемым в неотложной форме, от общего числа посещений</w:t>
            </w:r>
          </w:p>
        </w:tc>
        <w:tc>
          <w:tcPr>
            <w:tcW w:w="2694" w:type="dxa"/>
            <w:tcBorders>
              <w:top w:val="nil"/>
              <w:left w:val="nil"/>
              <w:bottom w:val="single" w:sz="4" w:space="0" w:color="auto"/>
              <w:right w:val="single" w:sz="4" w:space="0" w:color="auto"/>
            </w:tcBorders>
            <w:shd w:val="clear" w:color="auto" w:fill="auto"/>
            <w:vAlign w:val="center"/>
            <w:hideMark/>
          </w:tcPr>
          <w:p w14:paraId="582353A4"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от всех посещен</w:t>
            </w:r>
            <w:r w:rsidRPr="00B02FD1">
              <w:rPr>
                <w:rFonts w:ascii="Times New Roman" w:eastAsia="Times New Roman" w:hAnsi="Times New Roman" w:cs="Times New Roman"/>
                <w:color w:val="FF0000"/>
                <w:sz w:val="20"/>
                <w:szCs w:val="20"/>
                <w:lang w:eastAsia="ru-RU"/>
              </w:rPr>
              <w:t>и</w:t>
            </w:r>
            <w:r w:rsidRPr="00A424B6">
              <w:rPr>
                <w:rFonts w:ascii="Times New Roman" w:eastAsia="Times New Roman" w:hAnsi="Times New Roman" w:cs="Times New Roman"/>
                <w:color w:val="FF0000"/>
                <w:sz w:val="20"/>
                <w:szCs w:val="20"/>
                <w:lang w:eastAsia="ru-RU"/>
              </w:rPr>
              <w:t>й по заболеванию</w:t>
            </w:r>
          </w:p>
        </w:tc>
        <w:tc>
          <w:tcPr>
            <w:tcW w:w="1701" w:type="dxa"/>
            <w:tcBorders>
              <w:top w:val="nil"/>
              <w:left w:val="nil"/>
              <w:bottom w:val="single" w:sz="4" w:space="0" w:color="auto"/>
              <w:right w:val="single" w:sz="4" w:space="0" w:color="auto"/>
            </w:tcBorders>
            <w:shd w:val="clear" w:color="auto" w:fill="auto"/>
            <w:vAlign w:val="center"/>
            <w:hideMark/>
          </w:tcPr>
          <w:p w14:paraId="5E4C9C6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не менее 7,0 %</w:t>
            </w:r>
          </w:p>
        </w:tc>
        <w:tc>
          <w:tcPr>
            <w:tcW w:w="719" w:type="dxa"/>
            <w:tcBorders>
              <w:top w:val="nil"/>
              <w:left w:val="nil"/>
              <w:bottom w:val="single" w:sz="4" w:space="0" w:color="auto"/>
              <w:right w:val="single" w:sz="4" w:space="0" w:color="auto"/>
            </w:tcBorders>
            <w:shd w:val="clear" w:color="auto" w:fill="auto"/>
            <w:noWrap/>
            <w:vAlign w:val="center"/>
            <w:hideMark/>
          </w:tcPr>
          <w:p w14:paraId="3C1A30B5"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single" w:sz="4" w:space="0" w:color="auto"/>
              <w:left w:val="nil"/>
              <w:bottom w:val="single" w:sz="4" w:space="0" w:color="auto"/>
              <w:right w:val="single" w:sz="8" w:space="0" w:color="auto"/>
            </w:tcBorders>
            <w:shd w:val="clear" w:color="auto" w:fill="auto"/>
            <w:vAlign w:val="center"/>
            <w:hideMark/>
          </w:tcPr>
          <w:p w14:paraId="53CB5630"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7,0 % и более - 1 балл</w:t>
            </w:r>
            <w:r w:rsidRPr="00A424B6">
              <w:rPr>
                <w:rFonts w:ascii="Times New Roman" w:eastAsia="Times New Roman" w:hAnsi="Times New Roman" w:cs="Times New Roman"/>
                <w:color w:val="FF0000"/>
                <w:sz w:val="20"/>
                <w:szCs w:val="20"/>
                <w:lang w:eastAsia="ru-RU"/>
              </w:rPr>
              <w:br/>
              <w:t>6,9 % и менее - 0 баллов</w:t>
            </w:r>
          </w:p>
        </w:tc>
      </w:tr>
      <w:tr w:rsidR="008F537A" w:rsidRPr="00B02FD1" w14:paraId="408FA69F" w14:textId="77777777" w:rsidTr="005D3185">
        <w:trPr>
          <w:trHeight w:val="64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CAA8B88"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7</w:t>
            </w:r>
          </w:p>
        </w:tc>
        <w:tc>
          <w:tcPr>
            <w:tcW w:w="2852" w:type="dxa"/>
            <w:tcBorders>
              <w:top w:val="nil"/>
              <w:left w:val="nil"/>
              <w:bottom w:val="single" w:sz="4" w:space="0" w:color="auto"/>
              <w:right w:val="single" w:sz="4" w:space="0" w:color="auto"/>
            </w:tcBorders>
            <w:shd w:val="clear" w:color="auto" w:fill="auto"/>
            <w:vAlign w:val="center"/>
            <w:hideMark/>
          </w:tcPr>
          <w:p w14:paraId="35B7E70E"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Уровень заболевания инфарктом</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14:paraId="6B27C74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Число случаев на 1тыс. лиц трудоспособного возраста </w:t>
            </w:r>
            <w:r w:rsidRPr="00A424B6">
              <w:rPr>
                <w:rFonts w:ascii="Times New Roman" w:eastAsia="Times New Roman" w:hAnsi="Times New Roman" w:cs="Times New Roman"/>
                <w:color w:val="FF0000"/>
                <w:sz w:val="20"/>
                <w:szCs w:val="20"/>
                <w:lang w:eastAsia="ru-RU"/>
              </w:rPr>
              <w:br/>
              <w:t>(ж. 18-54г, м. 18-59л) среди прикрепленного населения</w:t>
            </w:r>
          </w:p>
        </w:tc>
        <w:tc>
          <w:tcPr>
            <w:tcW w:w="1701" w:type="dxa"/>
            <w:tcBorders>
              <w:top w:val="nil"/>
              <w:left w:val="nil"/>
              <w:bottom w:val="single" w:sz="4" w:space="0" w:color="auto"/>
              <w:right w:val="single" w:sz="4" w:space="0" w:color="auto"/>
            </w:tcBorders>
            <w:shd w:val="clear" w:color="auto" w:fill="auto"/>
            <w:vAlign w:val="center"/>
            <w:hideMark/>
          </w:tcPr>
          <w:p w14:paraId="701585D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2,9 </w:t>
            </w:r>
            <w:proofErr w:type="spellStart"/>
            <w:r w:rsidRPr="00A424B6">
              <w:rPr>
                <w:rFonts w:ascii="Times New Roman" w:eastAsia="Times New Roman" w:hAnsi="Times New Roman" w:cs="Times New Roman"/>
                <w:color w:val="FF0000"/>
                <w:sz w:val="20"/>
                <w:szCs w:val="20"/>
                <w:lang w:eastAsia="ru-RU"/>
              </w:rPr>
              <w:t>случ</w:t>
            </w:r>
            <w:proofErr w:type="spellEnd"/>
            <w:r w:rsidRPr="00A424B6">
              <w:rPr>
                <w:rFonts w:ascii="Times New Roman" w:eastAsia="Times New Roman" w:hAnsi="Times New Roman" w:cs="Times New Roman"/>
                <w:color w:val="FF0000"/>
                <w:sz w:val="20"/>
                <w:szCs w:val="20"/>
                <w:lang w:eastAsia="ru-RU"/>
              </w:rPr>
              <w:t>.</w:t>
            </w:r>
          </w:p>
        </w:tc>
        <w:tc>
          <w:tcPr>
            <w:tcW w:w="719" w:type="dxa"/>
            <w:tcBorders>
              <w:top w:val="nil"/>
              <w:left w:val="nil"/>
              <w:bottom w:val="single" w:sz="4" w:space="0" w:color="auto"/>
              <w:right w:val="single" w:sz="4" w:space="0" w:color="auto"/>
            </w:tcBorders>
            <w:shd w:val="clear" w:color="auto" w:fill="auto"/>
            <w:noWrap/>
            <w:vAlign w:val="center"/>
            <w:hideMark/>
          </w:tcPr>
          <w:p w14:paraId="04BBD9FB"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35A61C1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2,9 и более - 0 баллов</w:t>
            </w:r>
            <w:r w:rsidRPr="00A424B6">
              <w:rPr>
                <w:rFonts w:ascii="Times New Roman" w:eastAsia="Times New Roman" w:hAnsi="Times New Roman" w:cs="Times New Roman"/>
                <w:color w:val="FF0000"/>
                <w:sz w:val="20"/>
                <w:szCs w:val="20"/>
                <w:lang w:eastAsia="ru-RU"/>
              </w:rPr>
              <w:br/>
              <w:t>2,8 и менее - 1 балл</w:t>
            </w:r>
          </w:p>
        </w:tc>
      </w:tr>
      <w:tr w:rsidR="008F537A" w:rsidRPr="00B02FD1" w14:paraId="3EE975CA" w14:textId="77777777" w:rsidTr="005D3185">
        <w:trPr>
          <w:trHeight w:val="675"/>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1F7F18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8</w:t>
            </w:r>
          </w:p>
        </w:tc>
        <w:tc>
          <w:tcPr>
            <w:tcW w:w="2852" w:type="dxa"/>
            <w:tcBorders>
              <w:top w:val="nil"/>
              <w:left w:val="nil"/>
              <w:bottom w:val="single" w:sz="4" w:space="0" w:color="auto"/>
              <w:right w:val="single" w:sz="4" w:space="0" w:color="auto"/>
            </w:tcBorders>
            <w:shd w:val="clear" w:color="auto" w:fill="auto"/>
            <w:vAlign w:val="center"/>
            <w:hideMark/>
          </w:tcPr>
          <w:p w14:paraId="7FFAE5F1"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Уровень заболевания инсультом</w:t>
            </w:r>
          </w:p>
        </w:tc>
        <w:tc>
          <w:tcPr>
            <w:tcW w:w="2694" w:type="dxa"/>
            <w:vMerge/>
            <w:tcBorders>
              <w:top w:val="nil"/>
              <w:left w:val="single" w:sz="4" w:space="0" w:color="auto"/>
              <w:bottom w:val="single" w:sz="4" w:space="0" w:color="000000"/>
              <w:right w:val="single" w:sz="4" w:space="0" w:color="auto"/>
            </w:tcBorders>
            <w:vAlign w:val="center"/>
            <w:hideMark/>
          </w:tcPr>
          <w:p w14:paraId="57545D70"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5A917A8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4,3 </w:t>
            </w:r>
            <w:proofErr w:type="spellStart"/>
            <w:r w:rsidRPr="00A424B6">
              <w:rPr>
                <w:rFonts w:ascii="Times New Roman" w:eastAsia="Times New Roman" w:hAnsi="Times New Roman" w:cs="Times New Roman"/>
                <w:color w:val="FF0000"/>
                <w:sz w:val="20"/>
                <w:szCs w:val="20"/>
                <w:lang w:eastAsia="ru-RU"/>
              </w:rPr>
              <w:t>случ</w:t>
            </w:r>
            <w:proofErr w:type="spellEnd"/>
            <w:r w:rsidRPr="00A424B6">
              <w:rPr>
                <w:rFonts w:ascii="Times New Roman" w:eastAsia="Times New Roman" w:hAnsi="Times New Roman" w:cs="Times New Roman"/>
                <w:color w:val="FF0000"/>
                <w:sz w:val="20"/>
                <w:szCs w:val="20"/>
                <w:lang w:eastAsia="ru-RU"/>
              </w:rPr>
              <w:t>.</w:t>
            </w:r>
          </w:p>
        </w:tc>
        <w:tc>
          <w:tcPr>
            <w:tcW w:w="719" w:type="dxa"/>
            <w:tcBorders>
              <w:top w:val="nil"/>
              <w:left w:val="nil"/>
              <w:bottom w:val="single" w:sz="4" w:space="0" w:color="auto"/>
              <w:right w:val="single" w:sz="4" w:space="0" w:color="auto"/>
            </w:tcBorders>
            <w:shd w:val="clear" w:color="auto" w:fill="auto"/>
            <w:noWrap/>
            <w:vAlign w:val="center"/>
            <w:hideMark/>
          </w:tcPr>
          <w:p w14:paraId="1A15D1DA"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52205F00"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4,3 и более - 0 баллов</w:t>
            </w:r>
            <w:r w:rsidRPr="00A424B6">
              <w:rPr>
                <w:rFonts w:ascii="Times New Roman" w:eastAsia="Times New Roman" w:hAnsi="Times New Roman" w:cs="Times New Roman"/>
                <w:color w:val="FF0000"/>
                <w:sz w:val="20"/>
                <w:szCs w:val="20"/>
                <w:lang w:eastAsia="ru-RU"/>
              </w:rPr>
              <w:br/>
              <w:t>4,2 и менее - 1 балл</w:t>
            </w:r>
          </w:p>
        </w:tc>
      </w:tr>
      <w:tr w:rsidR="008F537A" w:rsidRPr="00B02FD1" w14:paraId="07EB63A4" w14:textId="77777777" w:rsidTr="005D3185">
        <w:trPr>
          <w:trHeight w:val="93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58AAB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9</w:t>
            </w:r>
          </w:p>
        </w:tc>
        <w:tc>
          <w:tcPr>
            <w:tcW w:w="2852" w:type="dxa"/>
            <w:tcBorders>
              <w:top w:val="nil"/>
              <w:left w:val="nil"/>
              <w:bottom w:val="single" w:sz="4" w:space="0" w:color="auto"/>
              <w:right w:val="single" w:sz="4" w:space="0" w:color="auto"/>
            </w:tcBorders>
            <w:shd w:val="clear" w:color="auto" w:fill="auto"/>
            <w:vAlign w:val="center"/>
            <w:hideMark/>
          </w:tcPr>
          <w:p w14:paraId="6D99EA45"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Доля умерших в общей численности прикрепленного населения</w:t>
            </w:r>
          </w:p>
        </w:tc>
        <w:tc>
          <w:tcPr>
            <w:tcW w:w="2694" w:type="dxa"/>
            <w:tcBorders>
              <w:top w:val="nil"/>
              <w:left w:val="nil"/>
              <w:bottom w:val="single" w:sz="4" w:space="0" w:color="auto"/>
              <w:right w:val="single" w:sz="4" w:space="0" w:color="auto"/>
            </w:tcBorders>
            <w:shd w:val="clear" w:color="auto" w:fill="auto"/>
            <w:vAlign w:val="center"/>
            <w:hideMark/>
          </w:tcPr>
          <w:p w14:paraId="44BD575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2ECBC12D"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не более 1,3 %</w:t>
            </w:r>
          </w:p>
        </w:tc>
        <w:tc>
          <w:tcPr>
            <w:tcW w:w="719" w:type="dxa"/>
            <w:tcBorders>
              <w:top w:val="nil"/>
              <w:left w:val="nil"/>
              <w:bottom w:val="single" w:sz="4" w:space="0" w:color="auto"/>
              <w:right w:val="single" w:sz="4" w:space="0" w:color="auto"/>
            </w:tcBorders>
            <w:shd w:val="clear" w:color="auto" w:fill="auto"/>
            <w:noWrap/>
            <w:vAlign w:val="center"/>
            <w:hideMark/>
          </w:tcPr>
          <w:p w14:paraId="59BEB3C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0403269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1,4 % и более - 0 баллов</w:t>
            </w:r>
            <w:r w:rsidRPr="00A424B6">
              <w:rPr>
                <w:rFonts w:ascii="Times New Roman" w:eastAsia="Times New Roman" w:hAnsi="Times New Roman" w:cs="Times New Roman"/>
                <w:color w:val="FF0000"/>
                <w:sz w:val="20"/>
                <w:szCs w:val="20"/>
                <w:lang w:eastAsia="ru-RU"/>
              </w:rPr>
              <w:br/>
              <w:t>1,3 % и менее - 1 балл</w:t>
            </w:r>
          </w:p>
        </w:tc>
      </w:tr>
      <w:tr w:rsidR="008F537A" w:rsidRPr="00B02FD1" w14:paraId="4C1DF3DD" w14:textId="77777777" w:rsidTr="005D3185">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5A51A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lastRenderedPageBreak/>
              <w:t>10</w:t>
            </w:r>
          </w:p>
        </w:tc>
        <w:tc>
          <w:tcPr>
            <w:tcW w:w="2852" w:type="dxa"/>
            <w:tcBorders>
              <w:top w:val="nil"/>
              <w:left w:val="nil"/>
              <w:bottom w:val="single" w:sz="4" w:space="0" w:color="auto"/>
              <w:right w:val="single" w:sz="4" w:space="0" w:color="auto"/>
            </w:tcBorders>
            <w:shd w:val="clear" w:color="auto" w:fill="auto"/>
            <w:vAlign w:val="center"/>
            <w:hideMark/>
          </w:tcPr>
          <w:p w14:paraId="5FFC8EDF"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Уровень смертности трудоспособного населения</w:t>
            </w:r>
          </w:p>
        </w:tc>
        <w:tc>
          <w:tcPr>
            <w:tcW w:w="2694" w:type="dxa"/>
            <w:tcBorders>
              <w:top w:val="nil"/>
              <w:left w:val="nil"/>
              <w:bottom w:val="single" w:sz="4" w:space="0" w:color="auto"/>
              <w:right w:val="single" w:sz="4" w:space="0" w:color="auto"/>
            </w:tcBorders>
            <w:shd w:val="clear" w:color="auto" w:fill="auto"/>
            <w:vAlign w:val="center"/>
            <w:hideMark/>
          </w:tcPr>
          <w:p w14:paraId="7701FB3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220F7700"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не более 0,2 %</w:t>
            </w:r>
          </w:p>
        </w:tc>
        <w:tc>
          <w:tcPr>
            <w:tcW w:w="719" w:type="dxa"/>
            <w:tcBorders>
              <w:top w:val="nil"/>
              <w:left w:val="nil"/>
              <w:bottom w:val="single" w:sz="4" w:space="0" w:color="auto"/>
              <w:right w:val="single" w:sz="4" w:space="0" w:color="auto"/>
            </w:tcBorders>
            <w:shd w:val="clear" w:color="auto" w:fill="auto"/>
            <w:noWrap/>
            <w:vAlign w:val="center"/>
            <w:hideMark/>
          </w:tcPr>
          <w:p w14:paraId="465504F4"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46ABE93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0,3 % и более - 0 баллов</w:t>
            </w:r>
            <w:r w:rsidRPr="00A424B6">
              <w:rPr>
                <w:rFonts w:ascii="Times New Roman" w:eastAsia="Times New Roman" w:hAnsi="Times New Roman" w:cs="Times New Roman"/>
                <w:color w:val="FF0000"/>
                <w:sz w:val="20"/>
                <w:szCs w:val="20"/>
                <w:lang w:eastAsia="ru-RU"/>
              </w:rPr>
              <w:br/>
              <w:t>0,2 % и менее - 1 балл</w:t>
            </w:r>
          </w:p>
        </w:tc>
      </w:tr>
      <w:tr w:rsidR="008F537A" w:rsidRPr="00A424B6" w14:paraId="785A78FF" w14:textId="77777777" w:rsidTr="005D3185">
        <w:trPr>
          <w:trHeight w:val="499"/>
        </w:trPr>
        <w:tc>
          <w:tcPr>
            <w:tcW w:w="10196"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14:paraId="342130D0"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II. Показатели интенсивности</w:t>
            </w:r>
          </w:p>
        </w:tc>
      </w:tr>
      <w:tr w:rsidR="008F537A" w:rsidRPr="00B02FD1" w14:paraId="79D389F9" w14:textId="77777777" w:rsidTr="005D3185">
        <w:trPr>
          <w:trHeight w:val="9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E0BBE2"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2852" w:type="dxa"/>
            <w:tcBorders>
              <w:top w:val="nil"/>
              <w:left w:val="nil"/>
              <w:bottom w:val="single" w:sz="4" w:space="0" w:color="auto"/>
              <w:right w:val="single" w:sz="4" w:space="0" w:color="auto"/>
            </w:tcBorders>
            <w:shd w:val="clear" w:color="auto" w:fill="auto"/>
            <w:vAlign w:val="center"/>
            <w:hideMark/>
          </w:tcPr>
          <w:p w14:paraId="6594A0A5"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Количество </w:t>
            </w:r>
            <w:r w:rsidRPr="00A424B6">
              <w:rPr>
                <w:rFonts w:ascii="Times New Roman" w:eastAsia="Times New Roman" w:hAnsi="Times New Roman" w:cs="Times New Roman"/>
                <w:b/>
                <w:bCs/>
                <w:color w:val="FF0000"/>
                <w:sz w:val="20"/>
                <w:szCs w:val="20"/>
                <w:lang w:eastAsia="ru-RU"/>
              </w:rPr>
              <w:t>посещений</w:t>
            </w:r>
            <w:r w:rsidRPr="00A424B6">
              <w:rPr>
                <w:rFonts w:ascii="Times New Roman" w:eastAsia="Times New Roman" w:hAnsi="Times New Roman" w:cs="Times New Roman"/>
                <w:color w:val="FF0000"/>
                <w:sz w:val="20"/>
                <w:szCs w:val="20"/>
                <w:lang w:eastAsia="ru-RU"/>
              </w:rPr>
              <w:t xml:space="preserve"> на 1 тыс. человек прикрепленного населения</w:t>
            </w:r>
          </w:p>
        </w:tc>
        <w:tc>
          <w:tcPr>
            <w:tcW w:w="2694" w:type="dxa"/>
            <w:tcBorders>
              <w:top w:val="nil"/>
              <w:left w:val="nil"/>
              <w:bottom w:val="single" w:sz="4" w:space="0" w:color="auto"/>
              <w:right w:val="single" w:sz="4" w:space="0" w:color="auto"/>
            </w:tcBorders>
            <w:shd w:val="clear" w:color="auto" w:fill="auto"/>
            <w:vAlign w:val="center"/>
            <w:hideMark/>
          </w:tcPr>
          <w:p w14:paraId="11E3C81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ед.</w:t>
            </w:r>
          </w:p>
        </w:tc>
        <w:tc>
          <w:tcPr>
            <w:tcW w:w="1701" w:type="dxa"/>
            <w:tcBorders>
              <w:top w:val="nil"/>
              <w:left w:val="nil"/>
              <w:bottom w:val="single" w:sz="4" w:space="0" w:color="auto"/>
              <w:right w:val="single" w:sz="4" w:space="0" w:color="auto"/>
            </w:tcBorders>
            <w:shd w:val="clear" w:color="auto" w:fill="auto"/>
            <w:vAlign w:val="center"/>
            <w:hideMark/>
          </w:tcPr>
          <w:p w14:paraId="6A7FCE4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val="en-US" w:eastAsia="ru-RU"/>
              </w:rPr>
              <w:t>4 897</w:t>
            </w:r>
            <w:r>
              <w:rPr>
                <w:rFonts w:ascii="Times New Roman" w:eastAsia="Times New Roman" w:hAnsi="Times New Roman" w:cs="Times New Roman"/>
                <w:color w:val="FF0000"/>
                <w:sz w:val="20"/>
                <w:szCs w:val="20"/>
                <w:lang w:eastAsia="ru-RU"/>
              </w:rPr>
              <w:t>,0</w:t>
            </w:r>
            <w:r w:rsidRPr="00A424B6">
              <w:rPr>
                <w:rFonts w:ascii="Times New Roman" w:eastAsia="Times New Roman" w:hAnsi="Times New Roman" w:cs="Times New Roman"/>
                <w:color w:val="FF0000"/>
                <w:sz w:val="20"/>
                <w:szCs w:val="20"/>
                <w:lang w:eastAsia="ru-RU"/>
              </w:rPr>
              <w:t xml:space="preserve"> </w:t>
            </w:r>
            <w:proofErr w:type="spellStart"/>
            <w:r w:rsidRPr="00A424B6">
              <w:rPr>
                <w:rFonts w:ascii="Times New Roman" w:eastAsia="Times New Roman" w:hAnsi="Times New Roman" w:cs="Times New Roman"/>
                <w:color w:val="FF0000"/>
                <w:sz w:val="20"/>
                <w:szCs w:val="20"/>
                <w:lang w:eastAsia="ru-RU"/>
              </w:rPr>
              <w:t>посещ</w:t>
            </w:r>
            <w:proofErr w:type="spellEnd"/>
            <w:r w:rsidRPr="00A424B6">
              <w:rPr>
                <w:rFonts w:ascii="Times New Roman" w:eastAsia="Times New Roman" w:hAnsi="Times New Roman" w:cs="Times New Roman"/>
                <w:color w:val="FF0000"/>
                <w:sz w:val="20"/>
                <w:szCs w:val="20"/>
                <w:lang w:eastAsia="ru-RU"/>
              </w:rPr>
              <w:t>.</w:t>
            </w:r>
          </w:p>
        </w:tc>
        <w:tc>
          <w:tcPr>
            <w:tcW w:w="719" w:type="dxa"/>
            <w:tcBorders>
              <w:top w:val="nil"/>
              <w:left w:val="nil"/>
              <w:bottom w:val="single" w:sz="4" w:space="0" w:color="auto"/>
              <w:right w:val="single" w:sz="4" w:space="0" w:color="auto"/>
            </w:tcBorders>
            <w:shd w:val="clear" w:color="auto" w:fill="auto"/>
            <w:noWrap/>
            <w:vAlign w:val="center"/>
            <w:hideMark/>
          </w:tcPr>
          <w:p w14:paraId="4419754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1FB4E575"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4 897,0</w:t>
            </w:r>
            <w:r w:rsidRPr="00A424B6">
              <w:rPr>
                <w:rFonts w:ascii="Times New Roman" w:eastAsia="Times New Roman" w:hAnsi="Times New Roman" w:cs="Times New Roman"/>
                <w:color w:val="FF0000"/>
                <w:sz w:val="20"/>
                <w:szCs w:val="20"/>
                <w:lang w:eastAsia="ru-RU"/>
              </w:rPr>
              <w:t xml:space="preserve"> и более - 1 балл</w:t>
            </w:r>
            <w:r w:rsidRPr="00A424B6">
              <w:rPr>
                <w:rFonts w:ascii="Times New Roman" w:eastAsia="Times New Roman" w:hAnsi="Times New Roman" w:cs="Times New Roman"/>
                <w:color w:val="FF0000"/>
                <w:sz w:val="20"/>
                <w:szCs w:val="20"/>
                <w:lang w:eastAsia="ru-RU"/>
              </w:rPr>
              <w:br/>
            </w:r>
            <w:r>
              <w:rPr>
                <w:rFonts w:ascii="Times New Roman" w:eastAsia="Times New Roman" w:hAnsi="Times New Roman" w:cs="Times New Roman"/>
                <w:color w:val="FF0000"/>
                <w:sz w:val="20"/>
                <w:szCs w:val="20"/>
                <w:lang w:eastAsia="ru-RU"/>
              </w:rPr>
              <w:t>4896,9</w:t>
            </w:r>
            <w:r w:rsidRPr="00A424B6">
              <w:rPr>
                <w:rFonts w:ascii="Times New Roman" w:eastAsia="Times New Roman" w:hAnsi="Times New Roman" w:cs="Times New Roman"/>
                <w:color w:val="FF0000"/>
                <w:sz w:val="20"/>
                <w:szCs w:val="20"/>
                <w:lang w:eastAsia="ru-RU"/>
              </w:rPr>
              <w:t>2 и менее - 0 баллов</w:t>
            </w:r>
          </w:p>
        </w:tc>
      </w:tr>
      <w:tr w:rsidR="008F537A" w:rsidRPr="00B02FD1" w14:paraId="76C8A908" w14:textId="77777777" w:rsidTr="005D3185">
        <w:trPr>
          <w:trHeight w:val="9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36118CE"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2</w:t>
            </w:r>
          </w:p>
        </w:tc>
        <w:tc>
          <w:tcPr>
            <w:tcW w:w="2852" w:type="dxa"/>
            <w:tcBorders>
              <w:top w:val="nil"/>
              <w:left w:val="nil"/>
              <w:bottom w:val="single" w:sz="4" w:space="0" w:color="auto"/>
              <w:right w:val="single" w:sz="4" w:space="0" w:color="auto"/>
            </w:tcBorders>
            <w:shd w:val="clear" w:color="auto" w:fill="auto"/>
            <w:vAlign w:val="center"/>
            <w:hideMark/>
          </w:tcPr>
          <w:p w14:paraId="7F0180B5"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Количество </w:t>
            </w:r>
            <w:r w:rsidRPr="00A424B6">
              <w:rPr>
                <w:rFonts w:ascii="Times New Roman" w:eastAsia="Times New Roman" w:hAnsi="Times New Roman" w:cs="Times New Roman"/>
                <w:b/>
                <w:bCs/>
                <w:color w:val="FF0000"/>
                <w:sz w:val="20"/>
                <w:szCs w:val="20"/>
                <w:lang w:eastAsia="ru-RU"/>
              </w:rPr>
              <w:t>обращений</w:t>
            </w:r>
            <w:r w:rsidRPr="00A424B6">
              <w:rPr>
                <w:rFonts w:ascii="Times New Roman" w:eastAsia="Times New Roman" w:hAnsi="Times New Roman" w:cs="Times New Roman"/>
                <w:color w:val="FF0000"/>
                <w:sz w:val="20"/>
                <w:szCs w:val="20"/>
                <w:lang w:eastAsia="ru-RU"/>
              </w:rPr>
              <w:t xml:space="preserve"> на 1 тыс. человек прикрепленного населения</w:t>
            </w:r>
          </w:p>
        </w:tc>
        <w:tc>
          <w:tcPr>
            <w:tcW w:w="2694" w:type="dxa"/>
            <w:tcBorders>
              <w:top w:val="nil"/>
              <w:left w:val="nil"/>
              <w:bottom w:val="single" w:sz="4" w:space="0" w:color="auto"/>
              <w:right w:val="single" w:sz="4" w:space="0" w:color="auto"/>
            </w:tcBorders>
            <w:shd w:val="clear" w:color="auto" w:fill="auto"/>
            <w:vAlign w:val="center"/>
            <w:hideMark/>
          </w:tcPr>
          <w:p w14:paraId="77B392D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ед.</w:t>
            </w:r>
          </w:p>
        </w:tc>
        <w:tc>
          <w:tcPr>
            <w:tcW w:w="1701" w:type="dxa"/>
            <w:tcBorders>
              <w:top w:val="nil"/>
              <w:left w:val="nil"/>
              <w:bottom w:val="single" w:sz="4" w:space="0" w:color="auto"/>
              <w:right w:val="single" w:sz="4" w:space="0" w:color="auto"/>
            </w:tcBorders>
            <w:shd w:val="clear" w:color="auto" w:fill="auto"/>
            <w:vAlign w:val="center"/>
            <w:hideMark/>
          </w:tcPr>
          <w:p w14:paraId="3F15424F"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575,0</w:t>
            </w:r>
            <w:r w:rsidRPr="00A424B6">
              <w:rPr>
                <w:rFonts w:ascii="Times New Roman" w:eastAsia="Times New Roman" w:hAnsi="Times New Roman" w:cs="Times New Roman"/>
                <w:color w:val="FF0000"/>
                <w:sz w:val="20"/>
                <w:szCs w:val="20"/>
                <w:lang w:eastAsia="ru-RU"/>
              </w:rPr>
              <w:t xml:space="preserve"> </w:t>
            </w:r>
            <w:proofErr w:type="spellStart"/>
            <w:r w:rsidRPr="00A424B6">
              <w:rPr>
                <w:rFonts w:ascii="Times New Roman" w:eastAsia="Times New Roman" w:hAnsi="Times New Roman" w:cs="Times New Roman"/>
                <w:color w:val="FF0000"/>
                <w:sz w:val="20"/>
                <w:szCs w:val="20"/>
                <w:lang w:eastAsia="ru-RU"/>
              </w:rPr>
              <w:t>обращ</w:t>
            </w:r>
            <w:proofErr w:type="spellEnd"/>
            <w:r w:rsidRPr="00A424B6">
              <w:rPr>
                <w:rFonts w:ascii="Times New Roman" w:eastAsia="Times New Roman" w:hAnsi="Times New Roman" w:cs="Times New Roman"/>
                <w:color w:val="FF0000"/>
                <w:sz w:val="20"/>
                <w:szCs w:val="20"/>
                <w:lang w:eastAsia="ru-RU"/>
              </w:rPr>
              <w:t>.</w:t>
            </w:r>
          </w:p>
        </w:tc>
        <w:tc>
          <w:tcPr>
            <w:tcW w:w="719" w:type="dxa"/>
            <w:tcBorders>
              <w:top w:val="nil"/>
              <w:left w:val="nil"/>
              <w:bottom w:val="single" w:sz="4" w:space="0" w:color="auto"/>
              <w:right w:val="single" w:sz="4" w:space="0" w:color="auto"/>
            </w:tcBorders>
            <w:shd w:val="clear" w:color="auto" w:fill="auto"/>
            <w:noWrap/>
            <w:vAlign w:val="center"/>
            <w:hideMark/>
          </w:tcPr>
          <w:p w14:paraId="2D9DA273"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single" w:sz="4" w:space="0" w:color="auto"/>
              <w:right w:val="single" w:sz="8" w:space="0" w:color="auto"/>
            </w:tcBorders>
            <w:shd w:val="clear" w:color="auto" w:fill="auto"/>
            <w:vAlign w:val="center"/>
            <w:hideMark/>
          </w:tcPr>
          <w:p w14:paraId="136DCFC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575</w:t>
            </w:r>
            <w:r w:rsidRPr="00A424B6">
              <w:rPr>
                <w:rFonts w:ascii="Times New Roman" w:eastAsia="Times New Roman" w:hAnsi="Times New Roman" w:cs="Times New Roman"/>
                <w:color w:val="FF0000"/>
                <w:sz w:val="20"/>
                <w:szCs w:val="20"/>
                <w:lang w:eastAsia="ru-RU"/>
              </w:rPr>
              <w:t>,0 и более - 1 балл</w:t>
            </w:r>
            <w:r w:rsidRPr="00A424B6">
              <w:rPr>
                <w:rFonts w:ascii="Times New Roman" w:eastAsia="Times New Roman" w:hAnsi="Times New Roman" w:cs="Times New Roman"/>
                <w:color w:val="FF0000"/>
                <w:sz w:val="20"/>
                <w:szCs w:val="20"/>
                <w:lang w:eastAsia="ru-RU"/>
              </w:rPr>
              <w:br/>
            </w:r>
            <w:r>
              <w:rPr>
                <w:rFonts w:ascii="Times New Roman" w:eastAsia="Times New Roman" w:hAnsi="Times New Roman" w:cs="Times New Roman"/>
                <w:color w:val="FF0000"/>
                <w:sz w:val="20"/>
                <w:szCs w:val="20"/>
                <w:lang w:eastAsia="ru-RU"/>
              </w:rPr>
              <w:t>574</w:t>
            </w:r>
            <w:r w:rsidRPr="00A424B6">
              <w:rPr>
                <w:rFonts w:ascii="Times New Roman" w:eastAsia="Times New Roman" w:hAnsi="Times New Roman" w:cs="Times New Roman"/>
                <w:color w:val="FF0000"/>
                <w:sz w:val="20"/>
                <w:szCs w:val="20"/>
                <w:lang w:eastAsia="ru-RU"/>
              </w:rPr>
              <w:t>,9 и менее - 0 баллов</w:t>
            </w:r>
          </w:p>
        </w:tc>
      </w:tr>
      <w:tr w:rsidR="008F537A" w:rsidRPr="00B02FD1" w14:paraId="661046CA" w14:textId="77777777" w:rsidTr="005D3185">
        <w:trPr>
          <w:trHeight w:val="2400"/>
        </w:trPr>
        <w:tc>
          <w:tcPr>
            <w:tcW w:w="540" w:type="dxa"/>
            <w:tcBorders>
              <w:top w:val="nil"/>
              <w:left w:val="single" w:sz="8" w:space="0" w:color="auto"/>
              <w:bottom w:val="nil"/>
              <w:right w:val="single" w:sz="4" w:space="0" w:color="auto"/>
            </w:tcBorders>
            <w:shd w:val="clear" w:color="auto" w:fill="auto"/>
            <w:noWrap/>
            <w:vAlign w:val="center"/>
            <w:hideMark/>
          </w:tcPr>
          <w:p w14:paraId="0B098A6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3</w:t>
            </w:r>
          </w:p>
        </w:tc>
        <w:tc>
          <w:tcPr>
            <w:tcW w:w="2852" w:type="dxa"/>
            <w:tcBorders>
              <w:top w:val="nil"/>
              <w:left w:val="nil"/>
              <w:bottom w:val="nil"/>
              <w:right w:val="single" w:sz="4" w:space="0" w:color="auto"/>
            </w:tcBorders>
            <w:shd w:val="clear" w:color="auto" w:fill="auto"/>
            <w:vAlign w:val="center"/>
            <w:hideMark/>
          </w:tcPr>
          <w:p w14:paraId="080F3384" w14:textId="77777777" w:rsidR="008F537A" w:rsidRPr="00A424B6" w:rsidRDefault="008F537A" w:rsidP="005D3185">
            <w:pPr>
              <w:spacing w:after="0" w:line="240" w:lineRule="auto"/>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xml:space="preserve">Охват </w:t>
            </w:r>
            <w:r w:rsidRPr="00A424B6">
              <w:rPr>
                <w:rFonts w:ascii="Times New Roman" w:eastAsia="Times New Roman" w:hAnsi="Times New Roman" w:cs="Times New Roman"/>
                <w:b/>
                <w:bCs/>
                <w:color w:val="FF0000"/>
                <w:sz w:val="20"/>
                <w:szCs w:val="20"/>
                <w:lang w:eastAsia="ru-RU"/>
              </w:rPr>
              <w:t>диспансеризаций</w:t>
            </w:r>
            <w:r w:rsidRPr="00A424B6">
              <w:rPr>
                <w:rFonts w:ascii="Times New Roman" w:eastAsia="Times New Roman" w:hAnsi="Times New Roman" w:cs="Times New Roman"/>
                <w:color w:val="FF0000"/>
                <w:sz w:val="20"/>
                <w:szCs w:val="20"/>
                <w:lang w:eastAsia="ru-RU"/>
              </w:rPr>
              <w:t xml:space="preserve"> определенных групп взрослого населения из подлежащего диспансеризации, охват профилактическими осмотрами </w:t>
            </w:r>
            <w:r w:rsidRPr="00B02FD1">
              <w:rPr>
                <w:rFonts w:ascii="Times New Roman" w:eastAsia="Times New Roman" w:hAnsi="Times New Roman" w:cs="Times New Roman"/>
                <w:color w:val="FF0000"/>
                <w:sz w:val="20"/>
                <w:szCs w:val="20"/>
                <w:lang w:eastAsia="ru-RU"/>
              </w:rPr>
              <w:t>несовершеннолетних</w:t>
            </w:r>
            <w:r w:rsidRPr="00A424B6">
              <w:rPr>
                <w:rFonts w:ascii="Times New Roman" w:eastAsia="Times New Roman" w:hAnsi="Times New Roman" w:cs="Times New Roman"/>
                <w:color w:val="FF0000"/>
                <w:sz w:val="20"/>
                <w:szCs w:val="20"/>
                <w:lang w:eastAsia="ru-RU"/>
              </w:rPr>
              <w:t xml:space="preserve"> из подлежащих профилактическим осмотрам в текущем году</w:t>
            </w:r>
          </w:p>
        </w:tc>
        <w:tc>
          <w:tcPr>
            <w:tcW w:w="2694" w:type="dxa"/>
            <w:tcBorders>
              <w:top w:val="nil"/>
              <w:left w:val="nil"/>
              <w:bottom w:val="nil"/>
              <w:right w:val="single" w:sz="4" w:space="0" w:color="auto"/>
            </w:tcBorders>
            <w:shd w:val="clear" w:color="auto" w:fill="auto"/>
            <w:vAlign w:val="center"/>
            <w:hideMark/>
          </w:tcPr>
          <w:p w14:paraId="4A37F4DE"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(целевое значение - не менее 80% от подлежащих)</w:t>
            </w:r>
          </w:p>
        </w:tc>
        <w:tc>
          <w:tcPr>
            <w:tcW w:w="1701" w:type="dxa"/>
            <w:tcBorders>
              <w:top w:val="nil"/>
              <w:left w:val="nil"/>
              <w:bottom w:val="nil"/>
              <w:right w:val="single" w:sz="4" w:space="0" w:color="auto"/>
            </w:tcBorders>
            <w:shd w:val="clear" w:color="auto" w:fill="auto"/>
            <w:vAlign w:val="center"/>
            <w:hideMark/>
          </w:tcPr>
          <w:p w14:paraId="5FB9BF0A"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Не менее 80,0%</w:t>
            </w:r>
          </w:p>
        </w:tc>
        <w:tc>
          <w:tcPr>
            <w:tcW w:w="719" w:type="dxa"/>
            <w:tcBorders>
              <w:top w:val="nil"/>
              <w:left w:val="nil"/>
              <w:bottom w:val="nil"/>
              <w:right w:val="single" w:sz="4" w:space="0" w:color="auto"/>
            </w:tcBorders>
            <w:shd w:val="clear" w:color="auto" w:fill="auto"/>
            <w:noWrap/>
            <w:vAlign w:val="center"/>
            <w:hideMark/>
          </w:tcPr>
          <w:p w14:paraId="73E2CD07"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1</w:t>
            </w:r>
          </w:p>
        </w:tc>
        <w:tc>
          <w:tcPr>
            <w:tcW w:w="1690" w:type="dxa"/>
            <w:tcBorders>
              <w:top w:val="nil"/>
              <w:left w:val="nil"/>
              <w:bottom w:val="nil"/>
              <w:right w:val="single" w:sz="8" w:space="0" w:color="auto"/>
            </w:tcBorders>
            <w:shd w:val="clear" w:color="auto" w:fill="auto"/>
            <w:vAlign w:val="center"/>
            <w:hideMark/>
          </w:tcPr>
          <w:p w14:paraId="5EE0830C"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80,0 % и более – 1 балл</w:t>
            </w:r>
            <w:r w:rsidRPr="00A424B6">
              <w:rPr>
                <w:rFonts w:ascii="Times New Roman" w:eastAsia="Times New Roman" w:hAnsi="Times New Roman" w:cs="Times New Roman"/>
                <w:color w:val="FF0000"/>
                <w:sz w:val="20"/>
                <w:szCs w:val="20"/>
                <w:lang w:eastAsia="ru-RU"/>
              </w:rPr>
              <w:br/>
              <w:t>79,9% и менее – 0 баллов</w:t>
            </w:r>
          </w:p>
        </w:tc>
      </w:tr>
      <w:tr w:rsidR="008F537A" w:rsidRPr="00B02FD1" w14:paraId="76C4CFA2" w14:textId="77777777" w:rsidTr="005D3185">
        <w:trPr>
          <w:trHeight w:val="405"/>
        </w:trPr>
        <w:tc>
          <w:tcPr>
            <w:tcW w:w="54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9788EA6" w14:textId="77777777" w:rsidR="008F537A" w:rsidRPr="00A424B6" w:rsidRDefault="008F537A" w:rsidP="005D3185">
            <w:pPr>
              <w:spacing w:after="0" w:line="240" w:lineRule="auto"/>
              <w:jc w:val="center"/>
              <w:rPr>
                <w:rFonts w:ascii="Times New Roman" w:eastAsia="Times New Roman" w:hAnsi="Times New Roman" w:cs="Times New Roman"/>
                <w:color w:val="FF0000"/>
                <w:sz w:val="20"/>
                <w:szCs w:val="20"/>
                <w:lang w:eastAsia="ru-RU"/>
              </w:rPr>
            </w:pPr>
            <w:r w:rsidRPr="00A424B6">
              <w:rPr>
                <w:rFonts w:ascii="Times New Roman" w:eastAsia="Times New Roman" w:hAnsi="Times New Roman" w:cs="Times New Roman"/>
                <w:color w:val="FF0000"/>
                <w:sz w:val="20"/>
                <w:szCs w:val="20"/>
                <w:lang w:eastAsia="ru-RU"/>
              </w:rPr>
              <w:t> </w:t>
            </w:r>
          </w:p>
        </w:tc>
        <w:tc>
          <w:tcPr>
            <w:tcW w:w="2852" w:type="dxa"/>
            <w:tcBorders>
              <w:top w:val="single" w:sz="4" w:space="0" w:color="auto"/>
              <w:left w:val="nil"/>
              <w:bottom w:val="single" w:sz="8" w:space="0" w:color="auto"/>
              <w:right w:val="single" w:sz="4" w:space="0" w:color="auto"/>
            </w:tcBorders>
            <w:shd w:val="clear" w:color="auto" w:fill="auto"/>
            <w:vAlign w:val="center"/>
            <w:hideMark/>
          </w:tcPr>
          <w:p w14:paraId="410532EC" w14:textId="77777777" w:rsidR="008F537A" w:rsidRPr="00A424B6" w:rsidRDefault="008F537A" w:rsidP="005D3185">
            <w:pPr>
              <w:spacing w:after="0" w:line="240" w:lineRule="auto"/>
              <w:jc w:val="right"/>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Итого:</w:t>
            </w:r>
          </w:p>
        </w:tc>
        <w:tc>
          <w:tcPr>
            <w:tcW w:w="2694" w:type="dxa"/>
            <w:tcBorders>
              <w:top w:val="single" w:sz="4" w:space="0" w:color="auto"/>
              <w:left w:val="nil"/>
              <w:bottom w:val="single" w:sz="8" w:space="0" w:color="auto"/>
              <w:right w:val="single" w:sz="4" w:space="0" w:color="auto"/>
            </w:tcBorders>
            <w:shd w:val="clear" w:color="auto" w:fill="auto"/>
            <w:vAlign w:val="center"/>
            <w:hideMark/>
          </w:tcPr>
          <w:p w14:paraId="7F7F5F8C"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Х</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14:paraId="54817991"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Х</w:t>
            </w:r>
          </w:p>
        </w:tc>
        <w:tc>
          <w:tcPr>
            <w:tcW w:w="719" w:type="dxa"/>
            <w:tcBorders>
              <w:top w:val="single" w:sz="4" w:space="0" w:color="auto"/>
              <w:left w:val="nil"/>
              <w:bottom w:val="single" w:sz="8" w:space="0" w:color="auto"/>
              <w:right w:val="single" w:sz="4" w:space="0" w:color="auto"/>
            </w:tcBorders>
            <w:shd w:val="clear" w:color="auto" w:fill="auto"/>
            <w:noWrap/>
            <w:vAlign w:val="center"/>
            <w:hideMark/>
          </w:tcPr>
          <w:p w14:paraId="06218553"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14</w:t>
            </w:r>
          </w:p>
        </w:tc>
        <w:tc>
          <w:tcPr>
            <w:tcW w:w="1690" w:type="dxa"/>
            <w:tcBorders>
              <w:top w:val="single" w:sz="4" w:space="0" w:color="auto"/>
              <w:left w:val="nil"/>
              <w:bottom w:val="single" w:sz="8" w:space="0" w:color="auto"/>
              <w:right w:val="single" w:sz="8" w:space="0" w:color="auto"/>
            </w:tcBorders>
            <w:shd w:val="clear" w:color="auto" w:fill="auto"/>
            <w:vAlign w:val="center"/>
            <w:hideMark/>
          </w:tcPr>
          <w:p w14:paraId="4F0465DE" w14:textId="77777777" w:rsidR="008F537A" w:rsidRPr="00A424B6" w:rsidRDefault="008F537A" w:rsidP="005D3185">
            <w:pPr>
              <w:spacing w:after="0" w:line="240" w:lineRule="auto"/>
              <w:jc w:val="center"/>
              <w:rPr>
                <w:rFonts w:ascii="Times New Roman" w:eastAsia="Times New Roman" w:hAnsi="Times New Roman" w:cs="Times New Roman"/>
                <w:b/>
                <w:bCs/>
                <w:color w:val="FF0000"/>
                <w:sz w:val="20"/>
                <w:szCs w:val="20"/>
                <w:lang w:eastAsia="ru-RU"/>
              </w:rPr>
            </w:pPr>
            <w:r w:rsidRPr="00A424B6">
              <w:rPr>
                <w:rFonts w:ascii="Times New Roman" w:eastAsia="Times New Roman" w:hAnsi="Times New Roman" w:cs="Times New Roman"/>
                <w:b/>
                <w:bCs/>
                <w:color w:val="FF0000"/>
                <w:sz w:val="20"/>
                <w:szCs w:val="20"/>
                <w:lang w:eastAsia="ru-RU"/>
              </w:rPr>
              <w:t>Х</w:t>
            </w:r>
          </w:p>
        </w:tc>
      </w:tr>
    </w:tbl>
    <w:p w14:paraId="4BEFA846" w14:textId="77777777" w:rsidR="00EB4F4B" w:rsidRDefault="00EB4F4B" w:rsidP="00EB4F4B"/>
    <w:p w14:paraId="4417724D" w14:textId="77777777" w:rsidR="00EB4F4B" w:rsidRDefault="00EB4F4B" w:rsidP="00EB4F4B"/>
    <w:p w14:paraId="5185897D" w14:textId="77777777" w:rsidR="00EB4F4B" w:rsidRPr="00D325D0" w:rsidRDefault="00EB4F4B" w:rsidP="00EB4F4B">
      <w:pPr>
        <w:jc w:val="center"/>
        <w:rPr>
          <w:rFonts w:ascii="Times New Roman" w:hAnsi="Times New Roman" w:cs="Times New Roman"/>
          <w:b/>
          <w:sz w:val="24"/>
          <w:szCs w:val="24"/>
        </w:rPr>
      </w:pPr>
      <w:r w:rsidRPr="00D325D0">
        <w:rPr>
          <w:rFonts w:ascii="Times New Roman" w:hAnsi="Times New Roman" w:cs="Times New Roman"/>
          <w:b/>
          <w:sz w:val="24"/>
          <w:szCs w:val="24"/>
        </w:rPr>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proofErr w:type="gramStart"/>
      <w:r w:rsidRPr="00D325D0">
        <w:rPr>
          <w:rFonts w:ascii="Times New Roman" w:hAnsi="Times New Roman" w:cs="Times New Roman"/>
          <w:b/>
          <w:sz w:val="24"/>
          <w:szCs w:val="24"/>
        </w:rPr>
        <w:t>согласно приложения</w:t>
      </w:r>
      <w:proofErr w:type="gramEnd"/>
      <w:r w:rsidRPr="00D325D0">
        <w:rPr>
          <w:rFonts w:ascii="Times New Roman" w:hAnsi="Times New Roman" w:cs="Times New Roman"/>
          <w:b/>
          <w:sz w:val="24"/>
          <w:szCs w:val="24"/>
        </w:rPr>
        <w:t xml:space="preserve"> № 2.5.1 к Тарифному соглашению)</w:t>
      </w:r>
      <w:r>
        <w:rPr>
          <w:rFonts w:ascii="Times New Roman" w:hAnsi="Times New Roman" w:cs="Times New Roman"/>
          <w:b/>
          <w:sz w:val="24"/>
          <w:szCs w:val="24"/>
        </w:rPr>
        <w:t xml:space="preserve"> </w:t>
      </w:r>
      <w:r w:rsidRPr="00D325D0">
        <w:rPr>
          <w:rFonts w:ascii="Times New Roman" w:hAnsi="Times New Roman" w:cs="Times New Roman"/>
          <w:b/>
          <w:sz w:val="24"/>
          <w:szCs w:val="24"/>
        </w:rPr>
        <w:t>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0AF86F9B" w14:textId="77777777" w:rsidR="00EB4F4B" w:rsidRPr="00D325D0" w:rsidRDefault="00EB4F4B" w:rsidP="00570BC9">
      <w:pPr>
        <w:ind w:firstLine="708"/>
        <w:jc w:val="center"/>
        <w:rPr>
          <w:rFonts w:ascii="Times New Roman" w:hAnsi="Times New Roman" w:cs="Times New Roman"/>
          <w:b/>
          <w:sz w:val="24"/>
          <w:szCs w:val="24"/>
        </w:rPr>
      </w:pPr>
      <w:r w:rsidRPr="00D325D0">
        <w:rPr>
          <w:rFonts w:ascii="Times New Roman" w:hAnsi="Times New Roman" w:cs="Times New Roman"/>
          <w:b/>
          <w:sz w:val="24"/>
          <w:szCs w:val="24"/>
        </w:rPr>
        <w:t xml:space="preserve">в рамках </w:t>
      </w:r>
      <w:proofErr w:type="spellStart"/>
      <w:r w:rsidRPr="00D325D0">
        <w:rPr>
          <w:rFonts w:ascii="Times New Roman" w:hAnsi="Times New Roman" w:cs="Times New Roman"/>
          <w:b/>
          <w:sz w:val="24"/>
          <w:szCs w:val="24"/>
        </w:rPr>
        <w:t>сверхбазовой</w:t>
      </w:r>
      <w:proofErr w:type="spellEnd"/>
      <w:r w:rsidRPr="00D325D0">
        <w:rPr>
          <w:rFonts w:ascii="Times New Roman" w:hAnsi="Times New Roman" w:cs="Times New Roman"/>
          <w:b/>
          <w:sz w:val="24"/>
          <w:szCs w:val="24"/>
        </w:rPr>
        <w:t xml:space="preserve"> программы</w:t>
      </w:r>
    </w:p>
    <w:tbl>
      <w:tblPr>
        <w:tblStyle w:val="a7"/>
        <w:tblW w:w="10314" w:type="dxa"/>
        <w:tblLayout w:type="fixed"/>
        <w:tblLook w:val="04A0" w:firstRow="1" w:lastRow="0" w:firstColumn="1" w:lastColumn="0" w:noHBand="0" w:noVBand="1"/>
      </w:tblPr>
      <w:tblGrid>
        <w:gridCol w:w="1150"/>
        <w:gridCol w:w="2360"/>
        <w:gridCol w:w="1560"/>
        <w:gridCol w:w="1842"/>
        <w:gridCol w:w="3402"/>
      </w:tblGrid>
      <w:tr w:rsidR="00EB4F4B" w:rsidRPr="00A424B6" w14:paraId="61DE867A" w14:textId="77777777" w:rsidTr="00A424B6">
        <w:trPr>
          <w:trHeight w:val="576"/>
        </w:trPr>
        <w:tc>
          <w:tcPr>
            <w:tcW w:w="1150" w:type="dxa"/>
            <w:vAlign w:val="center"/>
            <w:hideMark/>
          </w:tcPr>
          <w:p w14:paraId="77DE5610"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 п/п</w:t>
            </w:r>
          </w:p>
        </w:tc>
        <w:tc>
          <w:tcPr>
            <w:tcW w:w="2360" w:type="dxa"/>
            <w:vAlign w:val="center"/>
            <w:hideMark/>
          </w:tcPr>
          <w:p w14:paraId="27988BF7"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Наименование критерия</w:t>
            </w:r>
          </w:p>
        </w:tc>
        <w:tc>
          <w:tcPr>
            <w:tcW w:w="1560" w:type="dxa"/>
            <w:vAlign w:val="center"/>
            <w:hideMark/>
          </w:tcPr>
          <w:p w14:paraId="223E48CA"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Норматив</w:t>
            </w:r>
          </w:p>
        </w:tc>
        <w:tc>
          <w:tcPr>
            <w:tcW w:w="1842" w:type="dxa"/>
            <w:vAlign w:val="center"/>
            <w:hideMark/>
          </w:tcPr>
          <w:p w14:paraId="4A7B40DA"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Максимальный</w:t>
            </w:r>
          </w:p>
          <w:p w14:paraId="7573D25E"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 xml:space="preserve"> балл</w:t>
            </w:r>
          </w:p>
        </w:tc>
        <w:tc>
          <w:tcPr>
            <w:tcW w:w="3402" w:type="dxa"/>
            <w:vAlign w:val="center"/>
            <w:hideMark/>
          </w:tcPr>
          <w:p w14:paraId="775A64EB"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Шкала баллов</w:t>
            </w:r>
          </w:p>
        </w:tc>
      </w:tr>
      <w:tr w:rsidR="00EB4F4B" w:rsidRPr="00A424B6" w14:paraId="634431D3" w14:textId="77777777" w:rsidTr="00A424B6">
        <w:trPr>
          <w:trHeight w:val="194"/>
        </w:trPr>
        <w:tc>
          <w:tcPr>
            <w:tcW w:w="3510" w:type="dxa"/>
            <w:gridSpan w:val="2"/>
            <w:noWrap/>
            <w:hideMark/>
          </w:tcPr>
          <w:p w14:paraId="30D9E0F2"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Поликлиника</w:t>
            </w:r>
          </w:p>
        </w:tc>
        <w:tc>
          <w:tcPr>
            <w:tcW w:w="1560" w:type="dxa"/>
            <w:noWrap/>
            <w:hideMark/>
          </w:tcPr>
          <w:p w14:paraId="31976999"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w:t>
            </w:r>
          </w:p>
        </w:tc>
        <w:tc>
          <w:tcPr>
            <w:tcW w:w="1842" w:type="dxa"/>
            <w:noWrap/>
            <w:hideMark/>
          </w:tcPr>
          <w:p w14:paraId="18BAE994"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w:t>
            </w:r>
          </w:p>
        </w:tc>
        <w:tc>
          <w:tcPr>
            <w:tcW w:w="3402" w:type="dxa"/>
            <w:noWrap/>
            <w:hideMark/>
          </w:tcPr>
          <w:p w14:paraId="559F81D2"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w:t>
            </w:r>
          </w:p>
        </w:tc>
      </w:tr>
      <w:tr w:rsidR="00EB4F4B" w:rsidRPr="00A424B6" w14:paraId="5AD67807" w14:textId="77777777" w:rsidTr="00A424B6">
        <w:trPr>
          <w:trHeight w:val="721"/>
        </w:trPr>
        <w:tc>
          <w:tcPr>
            <w:tcW w:w="1150" w:type="dxa"/>
            <w:noWrap/>
            <w:vAlign w:val="center"/>
            <w:hideMark/>
          </w:tcPr>
          <w:p w14:paraId="4A385201"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1</w:t>
            </w:r>
          </w:p>
        </w:tc>
        <w:tc>
          <w:tcPr>
            <w:tcW w:w="2360" w:type="dxa"/>
            <w:vAlign w:val="center"/>
            <w:hideMark/>
          </w:tcPr>
          <w:p w14:paraId="6DAECED8"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xml:space="preserve">Выполнение плановых показателей </w:t>
            </w:r>
          </w:p>
        </w:tc>
        <w:tc>
          <w:tcPr>
            <w:tcW w:w="1560" w:type="dxa"/>
            <w:vAlign w:val="center"/>
            <w:hideMark/>
          </w:tcPr>
          <w:p w14:paraId="6642368B"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не менее 85%</w:t>
            </w:r>
          </w:p>
        </w:tc>
        <w:tc>
          <w:tcPr>
            <w:tcW w:w="1842" w:type="dxa"/>
            <w:noWrap/>
            <w:vAlign w:val="center"/>
            <w:hideMark/>
          </w:tcPr>
          <w:p w14:paraId="153358ED"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vAlign w:val="center"/>
            <w:hideMark/>
          </w:tcPr>
          <w:p w14:paraId="6DE73B2F"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84,9 % и менее - 0 баллов, от 85 % - 90 % - 1 балл, более 90,1 % - 2 балла</w:t>
            </w:r>
          </w:p>
        </w:tc>
      </w:tr>
      <w:tr w:rsidR="00EB4F4B" w:rsidRPr="00A424B6" w14:paraId="44F96774" w14:textId="77777777" w:rsidTr="00A424B6">
        <w:trPr>
          <w:trHeight w:val="288"/>
        </w:trPr>
        <w:tc>
          <w:tcPr>
            <w:tcW w:w="1150" w:type="dxa"/>
            <w:noWrap/>
            <w:hideMark/>
          </w:tcPr>
          <w:p w14:paraId="70C78B6B"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 </w:t>
            </w:r>
          </w:p>
        </w:tc>
        <w:tc>
          <w:tcPr>
            <w:tcW w:w="2360" w:type="dxa"/>
            <w:hideMark/>
          </w:tcPr>
          <w:p w14:paraId="323C70C6"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Итого</w:t>
            </w:r>
          </w:p>
        </w:tc>
        <w:tc>
          <w:tcPr>
            <w:tcW w:w="1560" w:type="dxa"/>
            <w:noWrap/>
            <w:hideMark/>
          </w:tcPr>
          <w:p w14:paraId="53BF1ACB"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Х</w:t>
            </w:r>
          </w:p>
        </w:tc>
        <w:tc>
          <w:tcPr>
            <w:tcW w:w="1842" w:type="dxa"/>
            <w:noWrap/>
            <w:hideMark/>
          </w:tcPr>
          <w:p w14:paraId="6573C6CB"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noWrap/>
            <w:hideMark/>
          </w:tcPr>
          <w:p w14:paraId="259E4CEA"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Х</w:t>
            </w:r>
          </w:p>
        </w:tc>
      </w:tr>
      <w:tr w:rsidR="00EB4F4B" w:rsidRPr="00A424B6" w14:paraId="3883A61A" w14:textId="77777777" w:rsidTr="00A424B6">
        <w:trPr>
          <w:trHeight w:val="288"/>
        </w:trPr>
        <w:tc>
          <w:tcPr>
            <w:tcW w:w="3510" w:type="dxa"/>
            <w:gridSpan w:val="2"/>
            <w:noWrap/>
            <w:hideMark/>
          </w:tcPr>
          <w:p w14:paraId="2F029AB1"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b/>
                <w:bCs/>
                <w:sz w:val="20"/>
                <w:szCs w:val="20"/>
              </w:rPr>
              <w:t>Стационар</w:t>
            </w:r>
            <w:r w:rsidRPr="00A424B6">
              <w:rPr>
                <w:rFonts w:ascii="Times New Roman" w:hAnsi="Times New Roman" w:cs="Times New Roman"/>
                <w:sz w:val="20"/>
                <w:szCs w:val="20"/>
              </w:rPr>
              <w:t> </w:t>
            </w:r>
          </w:p>
        </w:tc>
        <w:tc>
          <w:tcPr>
            <w:tcW w:w="1560" w:type="dxa"/>
            <w:noWrap/>
            <w:hideMark/>
          </w:tcPr>
          <w:p w14:paraId="11F55211" w14:textId="77777777" w:rsidR="00EB4F4B" w:rsidRPr="00A424B6" w:rsidRDefault="00EB4F4B" w:rsidP="00A060DF">
            <w:pPr>
              <w:jc w:val="center"/>
              <w:rPr>
                <w:rFonts w:ascii="Times New Roman" w:hAnsi="Times New Roman" w:cs="Times New Roman"/>
                <w:sz w:val="20"/>
                <w:szCs w:val="20"/>
              </w:rPr>
            </w:pPr>
          </w:p>
        </w:tc>
        <w:tc>
          <w:tcPr>
            <w:tcW w:w="1842" w:type="dxa"/>
            <w:noWrap/>
            <w:hideMark/>
          </w:tcPr>
          <w:p w14:paraId="0B5A20E2" w14:textId="77777777" w:rsidR="00EB4F4B" w:rsidRPr="00A424B6" w:rsidRDefault="00EB4F4B" w:rsidP="00A060DF">
            <w:pPr>
              <w:jc w:val="center"/>
              <w:rPr>
                <w:rFonts w:ascii="Times New Roman" w:hAnsi="Times New Roman" w:cs="Times New Roman"/>
                <w:sz w:val="20"/>
                <w:szCs w:val="20"/>
              </w:rPr>
            </w:pPr>
          </w:p>
        </w:tc>
        <w:tc>
          <w:tcPr>
            <w:tcW w:w="3402" w:type="dxa"/>
            <w:noWrap/>
            <w:hideMark/>
          </w:tcPr>
          <w:p w14:paraId="1BAC3540"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 </w:t>
            </w:r>
          </w:p>
        </w:tc>
      </w:tr>
      <w:tr w:rsidR="00EB4F4B" w:rsidRPr="00A424B6" w14:paraId="1E5D03C8" w14:textId="77777777" w:rsidTr="00A424B6">
        <w:trPr>
          <w:trHeight w:val="1234"/>
        </w:trPr>
        <w:tc>
          <w:tcPr>
            <w:tcW w:w="1150" w:type="dxa"/>
            <w:noWrap/>
            <w:vAlign w:val="center"/>
            <w:hideMark/>
          </w:tcPr>
          <w:p w14:paraId="2D8802B9" w14:textId="77777777" w:rsidR="00EB4F4B" w:rsidRPr="00A424B6" w:rsidRDefault="00572EE9" w:rsidP="00A060DF">
            <w:pPr>
              <w:jc w:val="center"/>
              <w:rPr>
                <w:rFonts w:ascii="Times New Roman" w:hAnsi="Times New Roman" w:cs="Times New Roman"/>
                <w:b/>
                <w:sz w:val="20"/>
                <w:szCs w:val="20"/>
              </w:rPr>
            </w:pPr>
            <w:r w:rsidRPr="00A424B6">
              <w:rPr>
                <w:rFonts w:ascii="Times New Roman" w:hAnsi="Times New Roman" w:cs="Times New Roman"/>
                <w:b/>
                <w:sz w:val="20"/>
                <w:szCs w:val="20"/>
              </w:rPr>
              <w:t>2</w:t>
            </w:r>
          </w:p>
        </w:tc>
        <w:tc>
          <w:tcPr>
            <w:tcW w:w="2360" w:type="dxa"/>
            <w:vAlign w:val="center"/>
            <w:hideMark/>
          </w:tcPr>
          <w:p w14:paraId="55DD2D6D"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xml:space="preserve">Выполнение плановых показателей </w:t>
            </w:r>
          </w:p>
        </w:tc>
        <w:tc>
          <w:tcPr>
            <w:tcW w:w="1560" w:type="dxa"/>
            <w:vAlign w:val="center"/>
            <w:hideMark/>
          </w:tcPr>
          <w:p w14:paraId="21248D9C"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не менее 85%</w:t>
            </w:r>
          </w:p>
        </w:tc>
        <w:tc>
          <w:tcPr>
            <w:tcW w:w="1842" w:type="dxa"/>
            <w:vAlign w:val="center"/>
            <w:hideMark/>
          </w:tcPr>
          <w:p w14:paraId="12595970"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vAlign w:val="center"/>
            <w:hideMark/>
          </w:tcPr>
          <w:p w14:paraId="08C8E745"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84,9 % и менее - 0 баллов, от 85 % - 90 % - 1 балл, более 90,1 % - 2 балла</w:t>
            </w:r>
          </w:p>
        </w:tc>
      </w:tr>
      <w:tr w:rsidR="00EB4F4B" w:rsidRPr="00A424B6" w14:paraId="5C51E05E" w14:textId="77777777" w:rsidTr="00A424B6">
        <w:trPr>
          <w:trHeight w:val="288"/>
        </w:trPr>
        <w:tc>
          <w:tcPr>
            <w:tcW w:w="1150" w:type="dxa"/>
            <w:noWrap/>
            <w:vAlign w:val="center"/>
            <w:hideMark/>
          </w:tcPr>
          <w:p w14:paraId="7166CE98"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 </w:t>
            </w:r>
          </w:p>
        </w:tc>
        <w:tc>
          <w:tcPr>
            <w:tcW w:w="2360" w:type="dxa"/>
            <w:noWrap/>
            <w:vAlign w:val="center"/>
            <w:hideMark/>
          </w:tcPr>
          <w:p w14:paraId="10108D3D"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Итого</w:t>
            </w:r>
          </w:p>
        </w:tc>
        <w:tc>
          <w:tcPr>
            <w:tcW w:w="1560" w:type="dxa"/>
            <w:noWrap/>
            <w:vAlign w:val="center"/>
            <w:hideMark/>
          </w:tcPr>
          <w:p w14:paraId="660725EA"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Х</w:t>
            </w:r>
          </w:p>
        </w:tc>
        <w:tc>
          <w:tcPr>
            <w:tcW w:w="1842" w:type="dxa"/>
            <w:noWrap/>
            <w:vAlign w:val="center"/>
            <w:hideMark/>
          </w:tcPr>
          <w:p w14:paraId="3B466A29"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noWrap/>
            <w:vAlign w:val="center"/>
            <w:hideMark/>
          </w:tcPr>
          <w:p w14:paraId="17636CCE"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Х</w:t>
            </w:r>
          </w:p>
        </w:tc>
      </w:tr>
      <w:tr w:rsidR="00EB4F4B" w:rsidRPr="00A424B6" w14:paraId="1B3FB186" w14:textId="77777777" w:rsidTr="00A424B6">
        <w:trPr>
          <w:trHeight w:val="288"/>
        </w:trPr>
        <w:tc>
          <w:tcPr>
            <w:tcW w:w="3510" w:type="dxa"/>
            <w:gridSpan w:val="2"/>
            <w:noWrap/>
            <w:hideMark/>
          </w:tcPr>
          <w:p w14:paraId="4C196591"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b/>
                <w:bCs/>
                <w:sz w:val="20"/>
                <w:szCs w:val="20"/>
              </w:rPr>
              <w:t>Дневной стационар</w:t>
            </w:r>
            <w:r w:rsidRPr="00A424B6">
              <w:rPr>
                <w:rFonts w:ascii="Times New Roman" w:hAnsi="Times New Roman" w:cs="Times New Roman"/>
                <w:sz w:val="20"/>
                <w:szCs w:val="20"/>
              </w:rPr>
              <w:t> </w:t>
            </w:r>
          </w:p>
        </w:tc>
        <w:tc>
          <w:tcPr>
            <w:tcW w:w="1560" w:type="dxa"/>
            <w:noWrap/>
            <w:hideMark/>
          </w:tcPr>
          <w:p w14:paraId="055A4957" w14:textId="77777777" w:rsidR="00EB4F4B" w:rsidRPr="00A424B6" w:rsidRDefault="00EB4F4B" w:rsidP="00A060DF">
            <w:pPr>
              <w:jc w:val="center"/>
              <w:rPr>
                <w:rFonts w:ascii="Times New Roman" w:hAnsi="Times New Roman" w:cs="Times New Roman"/>
                <w:sz w:val="20"/>
                <w:szCs w:val="20"/>
              </w:rPr>
            </w:pPr>
          </w:p>
        </w:tc>
        <w:tc>
          <w:tcPr>
            <w:tcW w:w="1842" w:type="dxa"/>
            <w:noWrap/>
            <w:hideMark/>
          </w:tcPr>
          <w:p w14:paraId="73BC4407" w14:textId="77777777" w:rsidR="00EB4F4B" w:rsidRPr="00A424B6" w:rsidRDefault="00EB4F4B" w:rsidP="00A060DF">
            <w:pPr>
              <w:jc w:val="center"/>
              <w:rPr>
                <w:rFonts w:ascii="Times New Roman" w:hAnsi="Times New Roman" w:cs="Times New Roman"/>
                <w:sz w:val="20"/>
                <w:szCs w:val="20"/>
              </w:rPr>
            </w:pPr>
          </w:p>
        </w:tc>
        <w:tc>
          <w:tcPr>
            <w:tcW w:w="3402" w:type="dxa"/>
            <w:noWrap/>
            <w:hideMark/>
          </w:tcPr>
          <w:p w14:paraId="188AADF1"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 </w:t>
            </w:r>
          </w:p>
        </w:tc>
      </w:tr>
      <w:tr w:rsidR="00EB4F4B" w:rsidRPr="00A424B6" w14:paraId="103AB2A8" w14:textId="77777777" w:rsidTr="00A424B6">
        <w:trPr>
          <w:trHeight w:val="1244"/>
        </w:trPr>
        <w:tc>
          <w:tcPr>
            <w:tcW w:w="1150" w:type="dxa"/>
            <w:noWrap/>
            <w:vAlign w:val="center"/>
            <w:hideMark/>
          </w:tcPr>
          <w:p w14:paraId="758A1347" w14:textId="77777777" w:rsidR="00EB4F4B" w:rsidRPr="00A424B6" w:rsidRDefault="00572EE9" w:rsidP="00A060DF">
            <w:pPr>
              <w:jc w:val="center"/>
              <w:rPr>
                <w:rFonts w:ascii="Times New Roman" w:hAnsi="Times New Roman" w:cs="Times New Roman"/>
                <w:b/>
                <w:sz w:val="20"/>
                <w:szCs w:val="20"/>
              </w:rPr>
            </w:pPr>
            <w:r w:rsidRPr="00A424B6">
              <w:rPr>
                <w:rFonts w:ascii="Times New Roman" w:hAnsi="Times New Roman" w:cs="Times New Roman"/>
                <w:b/>
                <w:sz w:val="20"/>
                <w:szCs w:val="20"/>
              </w:rPr>
              <w:t>3</w:t>
            </w:r>
          </w:p>
        </w:tc>
        <w:tc>
          <w:tcPr>
            <w:tcW w:w="2360" w:type="dxa"/>
            <w:vAlign w:val="center"/>
            <w:hideMark/>
          </w:tcPr>
          <w:p w14:paraId="4D129470" w14:textId="77777777" w:rsidR="00EB4F4B" w:rsidRPr="00A424B6" w:rsidRDefault="00EB4F4B" w:rsidP="00A060DF">
            <w:pPr>
              <w:rPr>
                <w:rFonts w:ascii="Times New Roman" w:hAnsi="Times New Roman" w:cs="Times New Roman"/>
                <w:b/>
                <w:bCs/>
                <w:sz w:val="20"/>
                <w:szCs w:val="20"/>
              </w:rPr>
            </w:pPr>
            <w:r w:rsidRPr="00A424B6">
              <w:rPr>
                <w:rFonts w:ascii="Times New Roman" w:hAnsi="Times New Roman" w:cs="Times New Roman"/>
                <w:b/>
                <w:bCs/>
                <w:sz w:val="20"/>
                <w:szCs w:val="20"/>
              </w:rPr>
              <w:t xml:space="preserve">Выполнение плановых показателей </w:t>
            </w:r>
          </w:p>
        </w:tc>
        <w:tc>
          <w:tcPr>
            <w:tcW w:w="1560" w:type="dxa"/>
            <w:vAlign w:val="center"/>
            <w:hideMark/>
          </w:tcPr>
          <w:p w14:paraId="5CD55A16"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не менее 85%</w:t>
            </w:r>
          </w:p>
        </w:tc>
        <w:tc>
          <w:tcPr>
            <w:tcW w:w="1842" w:type="dxa"/>
            <w:vAlign w:val="center"/>
            <w:hideMark/>
          </w:tcPr>
          <w:p w14:paraId="7FEDF02E"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vAlign w:val="center"/>
            <w:hideMark/>
          </w:tcPr>
          <w:p w14:paraId="66240E05"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84,9 % и менее - 0 баллов, от 85 % - 90 % - 1 балл, более 90,1 % - 2 балла</w:t>
            </w:r>
          </w:p>
        </w:tc>
      </w:tr>
      <w:tr w:rsidR="00EB4F4B" w:rsidRPr="00A424B6" w14:paraId="4DCCB5D4" w14:textId="77777777" w:rsidTr="00A424B6">
        <w:trPr>
          <w:trHeight w:val="288"/>
        </w:trPr>
        <w:tc>
          <w:tcPr>
            <w:tcW w:w="1150" w:type="dxa"/>
            <w:noWrap/>
            <w:vAlign w:val="center"/>
            <w:hideMark/>
          </w:tcPr>
          <w:p w14:paraId="36E48C88"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 </w:t>
            </w:r>
          </w:p>
        </w:tc>
        <w:tc>
          <w:tcPr>
            <w:tcW w:w="2360" w:type="dxa"/>
            <w:noWrap/>
            <w:vAlign w:val="center"/>
            <w:hideMark/>
          </w:tcPr>
          <w:p w14:paraId="78F00B67" w14:textId="77777777" w:rsidR="00EB4F4B" w:rsidRPr="00A424B6" w:rsidRDefault="00EB4F4B" w:rsidP="00A060DF">
            <w:pPr>
              <w:rPr>
                <w:rFonts w:ascii="Times New Roman" w:hAnsi="Times New Roman" w:cs="Times New Roman"/>
                <w:sz w:val="20"/>
                <w:szCs w:val="20"/>
              </w:rPr>
            </w:pPr>
            <w:r w:rsidRPr="00A424B6">
              <w:rPr>
                <w:rFonts w:ascii="Times New Roman" w:hAnsi="Times New Roman" w:cs="Times New Roman"/>
                <w:sz w:val="20"/>
                <w:szCs w:val="20"/>
              </w:rPr>
              <w:t>Итого</w:t>
            </w:r>
          </w:p>
        </w:tc>
        <w:tc>
          <w:tcPr>
            <w:tcW w:w="1560" w:type="dxa"/>
            <w:noWrap/>
            <w:vAlign w:val="center"/>
            <w:hideMark/>
          </w:tcPr>
          <w:p w14:paraId="2BF271FE"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Х</w:t>
            </w:r>
          </w:p>
        </w:tc>
        <w:tc>
          <w:tcPr>
            <w:tcW w:w="1842" w:type="dxa"/>
            <w:noWrap/>
            <w:vAlign w:val="center"/>
            <w:hideMark/>
          </w:tcPr>
          <w:p w14:paraId="0F0BF59E" w14:textId="77777777" w:rsidR="00EB4F4B" w:rsidRPr="00A424B6" w:rsidRDefault="00EB4F4B" w:rsidP="00A060DF">
            <w:pPr>
              <w:jc w:val="center"/>
              <w:rPr>
                <w:rFonts w:ascii="Times New Roman" w:hAnsi="Times New Roman" w:cs="Times New Roman"/>
                <w:b/>
                <w:bCs/>
                <w:sz w:val="20"/>
                <w:szCs w:val="20"/>
              </w:rPr>
            </w:pPr>
            <w:r w:rsidRPr="00A424B6">
              <w:rPr>
                <w:rFonts w:ascii="Times New Roman" w:hAnsi="Times New Roman" w:cs="Times New Roman"/>
                <w:b/>
                <w:bCs/>
                <w:sz w:val="20"/>
                <w:szCs w:val="20"/>
              </w:rPr>
              <w:t>2</w:t>
            </w:r>
          </w:p>
        </w:tc>
        <w:tc>
          <w:tcPr>
            <w:tcW w:w="3402" w:type="dxa"/>
            <w:noWrap/>
            <w:vAlign w:val="center"/>
            <w:hideMark/>
          </w:tcPr>
          <w:p w14:paraId="58DA67CB" w14:textId="77777777" w:rsidR="00EB4F4B" w:rsidRPr="00A424B6" w:rsidRDefault="00EB4F4B" w:rsidP="00A060DF">
            <w:pPr>
              <w:jc w:val="center"/>
              <w:rPr>
                <w:rFonts w:ascii="Times New Roman" w:hAnsi="Times New Roman" w:cs="Times New Roman"/>
                <w:sz w:val="20"/>
                <w:szCs w:val="20"/>
              </w:rPr>
            </w:pPr>
            <w:r w:rsidRPr="00A424B6">
              <w:rPr>
                <w:rFonts w:ascii="Times New Roman" w:hAnsi="Times New Roman" w:cs="Times New Roman"/>
                <w:sz w:val="20"/>
                <w:szCs w:val="20"/>
              </w:rPr>
              <w:t>Х</w:t>
            </w:r>
          </w:p>
        </w:tc>
      </w:tr>
    </w:tbl>
    <w:p w14:paraId="4168731D" w14:textId="77777777" w:rsidR="00EB4F4B" w:rsidRPr="004668CB" w:rsidRDefault="00EB4F4B" w:rsidP="00EB4F4B">
      <w:pPr>
        <w:ind w:left="708"/>
        <w:jc w:val="both"/>
        <w:rPr>
          <w:rFonts w:ascii="Times New Roman" w:hAnsi="Times New Roman" w:cs="Times New Roman"/>
          <w:sz w:val="24"/>
        </w:rPr>
      </w:pPr>
    </w:p>
    <w:p w14:paraId="00F0BB10" w14:textId="77777777" w:rsidR="00AA35A4" w:rsidRDefault="00AA35A4" w:rsidP="00AA35A4">
      <w:pPr>
        <w:ind w:firstLine="708"/>
        <w:jc w:val="center"/>
        <w:rPr>
          <w:rFonts w:ascii="Times New Roman" w:hAnsi="Times New Roman" w:cs="Times New Roman"/>
          <w:b/>
          <w:sz w:val="24"/>
          <w:szCs w:val="24"/>
        </w:rPr>
      </w:pPr>
    </w:p>
    <w:p w14:paraId="2B261E9D" w14:textId="77777777" w:rsidR="00DF36EB" w:rsidRDefault="00DF36EB" w:rsidP="00DF36EB">
      <w:pPr>
        <w:jc w:val="center"/>
        <w:rPr>
          <w:rFonts w:ascii="Times New Roman" w:hAnsi="Times New Roman" w:cs="Times New Roman"/>
          <w:b/>
          <w:sz w:val="28"/>
        </w:rPr>
      </w:pPr>
      <w:r>
        <w:rPr>
          <w:rFonts w:ascii="Times New Roman" w:hAnsi="Times New Roman" w:cs="Times New Roman"/>
          <w:b/>
          <w:sz w:val="24"/>
          <w:szCs w:val="24"/>
        </w:rPr>
        <w:lastRenderedPageBreak/>
        <w:t>Методика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70712BF9" w14:textId="77777777" w:rsidR="00DF36EB" w:rsidRDefault="00DF36EB" w:rsidP="00DF36EB">
      <w:pPr>
        <w:spacing w:after="0" w:line="240" w:lineRule="auto"/>
        <w:ind w:firstLine="709"/>
        <w:jc w:val="center"/>
        <w:rPr>
          <w:rFonts w:ascii="Times New Roman" w:hAnsi="Times New Roman" w:cs="Times New Roman"/>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w:t>
      </w:r>
      <w:r>
        <w:rPr>
          <w:rFonts w:ascii="Times New Roman" w:hAnsi="Times New Roman" w:cs="Times New Roman"/>
          <w:b/>
          <w:sz w:val="28"/>
          <w:szCs w:val="24"/>
        </w:rPr>
        <w:t xml:space="preserve"> </w:t>
      </w:r>
      <w:r>
        <w:rPr>
          <w:rFonts w:ascii="Times New Roman" w:hAnsi="Times New Roman" w:cs="Times New Roman"/>
          <w:b/>
          <w:sz w:val="24"/>
          <w:szCs w:val="24"/>
        </w:rPr>
        <w:t>Порядок оценки показателей результативности выполнения целевых показателей медицинскими организациями, финансируемыми по подушевому нормативу при реализации территориальной программы ОМС Калининградской области с целью осуществления выплат стимулирующего характера</w:t>
      </w:r>
    </w:p>
    <w:p w14:paraId="40B0DF7A" w14:textId="77777777" w:rsidR="00DF36EB" w:rsidRDefault="00DF36EB" w:rsidP="00DF36EB">
      <w:pPr>
        <w:spacing w:after="0" w:line="240" w:lineRule="auto"/>
        <w:ind w:firstLine="709"/>
        <w:rPr>
          <w:rFonts w:ascii="Times New Roman" w:hAnsi="Times New Roman" w:cs="Times New Roman"/>
          <w:b/>
          <w:sz w:val="24"/>
          <w:szCs w:val="24"/>
        </w:rPr>
      </w:pPr>
    </w:p>
    <w:p w14:paraId="5C7A1413" w14:textId="77777777" w:rsidR="00DF36EB" w:rsidRDefault="00DF36EB" w:rsidP="00DF36E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261050D"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Стимулирование МО, оказывающих первичную медико-санитарную помощь и имеющих прикрепленное население, по итогам квартала производится за счет средств сформированного Резерва соответствующего квартала. Сумма средств Резерва формируется ежемесячно в размере 1% от средств финансового обеспечения по подушевому нормативу финансирования на прикрепившихся лиц исходя из приложения № 3.3.3 к Тарифному соглашению. По результатам оценки исходя из количества набранных баллов формируется рейтинг медицинских организаций. Выплаты осуществляются по каждой медицинской организации исходя из рейтинга.</w:t>
      </w:r>
    </w:p>
    <w:p w14:paraId="6F0BAFFE"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Оценка выполнения показателей деятельности и достигнутых результатов, проводится ежеквартально рабочей группой по разработке критериев результативности выполнения целевых показателей МО, оказывающих первичную медико-санитарную помощь. </w:t>
      </w:r>
    </w:p>
    <w:p w14:paraId="2E6B8F2C"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Оценка выполнения показателей деятельности и достигнутых результатов в </w:t>
      </w:r>
      <w:r>
        <w:rPr>
          <w:rFonts w:ascii="Times New Roman" w:hAnsi="Times New Roman" w:cs="Times New Roman"/>
          <w:sz w:val="24"/>
          <w:lang w:val="en-US"/>
        </w:rPr>
        <w:t>IV</w:t>
      </w:r>
      <w:r>
        <w:rPr>
          <w:rFonts w:ascii="Times New Roman" w:hAnsi="Times New Roman" w:cs="Times New Roman"/>
          <w:sz w:val="24"/>
          <w:szCs w:val="24"/>
        </w:rPr>
        <w:t xml:space="preserve"> квартале проводится рабочей группой по разработке критериев результативности выполнения целевых показателей МО в декабре текущего года в связи с окончанием текущего финансового года, на основании представленных МО реестров за оказанную медицинскую помощь и информации, представленной СМО о наличии обоснованных жалоб застрахованных граждан на медицинскую организацию за октябрь и ноябрь текущего года.</w:t>
      </w:r>
    </w:p>
    <w:p w14:paraId="6F605409"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5D84E14B"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медицинских организаций (далее – МО) за отчетный период производятся согласно перечню критериев результативности выполнения целевых показателей МО, оказывающих первичную медико-санитарную помощь (в рамках базовой программы ОМС). </w:t>
      </w:r>
    </w:p>
    <w:p w14:paraId="4DC3D62F"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Оценка деятельности при оказании амбулаторной медицинской помощи с определением достигнутых за отчетный квартал значений по каждому показателю производится на основании представленных МО реестров за оказанную медицинскую помощь и информации, представленной СМО и ТФОМС о наличие обоснованных жалоб застрахованных граждан на медицинскую организацию, доступность и качество медицинской помощи, взимание денежных средств с граждан за медицинскую помощь рамках территориальной программы ОМС. </w:t>
      </w:r>
    </w:p>
    <w:p w14:paraId="6CFC9E0A"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3247E516" w14:textId="77777777" w:rsidR="00DF36EB" w:rsidRDefault="00DF36EB" w:rsidP="00DF36EB">
      <w:pPr>
        <w:pStyle w:val="a5"/>
        <w:numPr>
          <w:ilvl w:val="0"/>
          <w:numId w:val="7"/>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Показатели результативности</w:t>
      </w:r>
    </w:p>
    <w:p w14:paraId="0B2C55C9"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Уровень госпитализации прикрепленного населения от общей численности прикрепленного населения </w:t>
      </w:r>
      <w:r>
        <w:rPr>
          <w:rFonts w:ascii="Times New Roman" w:hAnsi="Times New Roman" w:cs="Times New Roman"/>
          <w:sz w:val="24"/>
          <w:szCs w:val="24"/>
        </w:rPr>
        <w:t>рассчитывается как сумма госпитализаций, деленная на численность прикрепленного населения. Норматив составляет 0,162 госпитализации на 1 застрахованного, данный показатель сложился на основании норматива объемов МП на 2021 г. в расчете на 1 застрахованное лицо, за исключением межтерриториальных расчетов. Шкала баллов представляет собой следующее: 0,162 и более – 0 баллов; 0,161 - 0,120 - 1балл; 0,119 и менее - 2 балла.</w:t>
      </w:r>
    </w:p>
    <w:p w14:paraId="3EE3BCDD"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 xml:space="preserve">Доля экстренных госпитализаций в общем объеме госпитализаций прикрепленного населения </w:t>
      </w:r>
      <w:r>
        <w:rPr>
          <w:rFonts w:ascii="Times New Roman" w:hAnsi="Times New Roman" w:cs="Times New Roman"/>
          <w:sz w:val="24"/>
          <w:szCs w:val="24"/>
        </w:rPr>
        <w:t xml:space="preserve">рассчитывается как отношение количества экстренных госпитализаций к общему числу госпитализаций. Норматив составляет не более 60,0 % от общего числа экстренных госпитализаций, данный показатель сложился по результатам анализа за 2020 г. Шкала баллов представляет собой: 60,0 % и более - 0 баллов; 59,9 % и менее - 1 балл. </w:t>
      </w:r>
    </w:p>
    <w:p w14:paraId="41D130A5"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 xml:space="preserve">Частота вызовов скорой МП прикрепленному населению </w:t>
      </w:r>
      <w:r>
        <w:rPr>
          <w:rFonts w:ascii="Times New Roman" w:hAnsi="Times New Roman" w:cs="Times New Roman"/>
          <w:sz w:val="24"/>
          <w:szCs w:val="24"/>
        </w:rPr>
        <w:t>рассчитывается как количество вызовов, деленное на 1 тыс. прикрепленного населения. Норматив составляет 285,0 вызова СП на 1 тыс. прикрепленного населения, данный показатель сложился на основании норматива объемов МП на 2021 г., за исключением межтерриториальных расчетов. Шкала баллов представляет собой следующее: 285,0 и более - 0 баллов; 284,9 и менее - 1 балл.</w:t>
      </w:r>
    </w:p>
    <w:p w14:paraId="1143F2ED"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Доля пациентов с впервые установленной I-II стадией ЗНО всех локализаций в общем числе пациентов с впервые в жизни установленным диагнозом ЗНО </w:t>
      </w:r>
      <w:r>
        <w:rPr>
          <w:rFonts w:ascii="Times New Roman" w:hAnsi="Times New Roman" w:cs="Times New Roman"/>
          <w:sz w:val="24"/>
          <w:szCs w:val="24"/>
        </w:rPr>
        <w:t xml:space="preserve">рассчитывается как отношение количества выявленных случаев ЗНО I-II стадии к общему числу выявленных случаев ЗНО. Норматив составляет не менее 50,0 % от общего числа выявленных случаев ЗНО I-II стадии, данный показатель сложился по результатам анализа за 2020 г. Шкала баллов представляет собой: 50,0 % и более - 1 балл; 49,9 % и менее - 0 баллов.  </w:t>
      </w:r>
    </w:p>
    <w:p w14:paraId="76CB1E6C"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Доля обоснованных жалоб пациентов на работу медицинской организации </w:t>
      </w:r>
      <w:r>
        <w:rPr>
          <w:rFonts w:ascii="Times New Roman" w:hAnsi="Times New Roman" w:cs="Times New Roman"/>
          <w:sz w:val="24"/>
          <w:szCs w:val="24"/>
        </w:rPr>
        <w:t>– оценивается отсутствие обоснованных жалоб застрахованных граждан на медицинскую помощь. Шкала баллов представляет собой следующее: при наличии 1 и более обоснованной жалобы - 0 баллов, при отсутствии обоснованных жалоб - 1 балл.</w:t>
      </w:r>
    </w:p>
    <w:p w14:paraId="695B1B81"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Доля посещений по заболеваниям, осуществляемым в неотложной форме, от общего числа посещений </w:t>
      </w:r>
      <w:r>
        <w:rPr>
          <w:rFonts w:ascii="Times New Roman" w:hAnsi="Times New Roman" w:cs="Times New Roman"/>
          <w:sz w:val="24"/>
          <w:szCs w:val="24"/>
        </w:rPr>
        <w:t>рассчитывается как отношение количества посещений в неотложной форме к общему числу посещений. Норматив составляет 7,0% в структуре посещений за 2020 г. Шкала баллов представляет собой следующее: 7,0 % и более - 1 балл; 6,9 % и менее - 0 баллов.</w:t>
      </w:r>
    </w:p>
    <w:p w14:paraId="673B10E2"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Уровень заболевания инфарктом </w:t>
      </w:r>
      <w:r>
        <w:rPr>
          <w:rFonts w:ascii="Times New Roman" w:hAnsi="Times New Roman" w:cs="Times New Roman"/>
          <w:sz w:val="24"/>
          <w:szCs w:val="24"/>
        </w:rPr>
        <w:t>рассчитывается как отношение числа лиц, перенесших инфаркт миокарда на 1 тыс. прикрепленного населения трудоспособного возраста. Норматив составляет 2,9 случая на 1 тыс. застрахованных, данный показатель сложился по результатам анализа за 2020 г. Шкала баллов представляет собой следующее: 2,9 и более - 0 баллов; 2,8 и менее - 1 балл.</w:t>
      </w:r>
    </w:p>
    <w:p w14:paraId="600392F4"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Уровень заболевания инсультом </w:t>
      </w:r>
      <w:r>
        <w:rPr>
          <w:rFonts w:ascii="Times New Roman" w:hAnsi="Times New Roman" w:cs="Times New Roman"/>
          <w:sz w:val="24"/>
          <w:szCs w:val="24"/>
        </w:rPr>
        <w:t>рассчитывается как отношение числа лиц, перенесших инсульт на 1 тыс. прикрепленного населения трудоспособного возраста. Норматив составляет 2,9 случая на 1 тыс. застрахованных, данный показатель сложился по результатам анализа за 2020 г. Шкала баллов представляет собой следующее: 4,3 и более - 0 баллов; 4,2 и менее - 1 балл.</w:t>
      </w:r>
    </w:p>
    <w:p w14:paraId="04298737"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Доля умерших в общей численности прикрепленного населения </w:t>
      </w:r>
      <w:r>
        <w:rPr>
          <w:rFonts w:ascii="Times New Roman" w:hAnsi="Times New Roman" w:cs="Times New Roman"/>
          <w:sz w:val="24"/>
          <w:szCs w:val="24"/>
        </w:rPr>
        <w:t>рассчитывается как отношение количества умерших к общему количеству застрахованных лиц. Норматив составляет не более 1,3%, данный показатель сложился по результатам анализа за 2020 г. Шкала баллов представляет собой следующее: 1,4 % и более - 0 баллов; 1,3 % и менее - 1 балл.</w:t>
      </w:r>
    </w:p>
    <w:p w14:paraId="48350406" w14:textId="77777777" w:rsidR="00DF36EB" w:rsidRDefault="00DF36EB" w:rsidP="00DF36EB">
      <w:pPr>
        <w:pStyle w:val="a5"/>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Уровень смертности трудоспособного населения </w:t>
      </w:r>
      <w:r>
        <w:rPr>
          <w:rFonts w:ascii="Times New Roman" w:hAnsi="Times New Roman" w:cs="Times New Roman"/>
          <w:sz w:val="24"/>
          <w:szCs w:val="24"/>
        </w:rPr>
        <w:t>рассчитывается как отношение общего количества умерших трудоспособного возраста к общему количеству застрахованных лиц. Норматив составляет не более 0,2%, данный показатель сложился по результатам анализа за 2020г. Шкала баллов представляет собой следующее: 0,3 % и более - 0 баллов; 0,2 % и менее - 1 балл.</w:t>
      </w:r>
    </w:p>
    <w:p w14:paraId="34E8391D" w14:textId="77777777" w:rsidR="00DF36EB" w:rsidRDefault="00DF36EB" w:rsidP="00DF36EB">
      <w:pPr>
        <w:pStyle w:val="a5"/>
        <w:numPr>
          <w:ilvl w:val="0"/>
          <w:numId w:val="7"/>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Показатели интенсивности</w:t>
      </w:r>
    </w:p>
    <w:p w14:paraId="4BE3ECB2" w14:textId="77777777" w:rsidR="00DF36EB" w:rsidRDefault="00DF36EB" w:rsidP="00DF36EB">
      <w:pPr>
        <w:pStyle w:val="a5"/>
        <w:numPr>
          <w:ilvl w:val="0"/>
          <w:numId w:val="9"/>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Количество посещений на 1 тыс. человек прикрепленного населения </w:t>
      </w:r>
      <w:r>
        <w:rPr>
          <w:rFonts w:ascii="Times New Roman" w:hAnsi="Times New Roman" w:cs="Times New Roman"/>
          <w:sz w:val="24"/>
          <w:szCs w:val="24"/>
        </w:rPr>
        <w:t>рассчитывается как сумма всех посещений, установленных в территориальной программе ОМС, деленное на 1 тыс. прикрепленного населения. Норматив составляет 4897,0 посещений на 1 тыс. застрахованных, данный показатель сложился по результатам анализа за 2019 г. Шкала баллов представляет собой следующее: 4897,0 и более - 1 балл; 4896,9 и менее - 0 баллов.</w:t>
      </w:r>
    </w:p>
    <w:p w14:paraId="01FC365E" w14:textId="77777777" w:rsidR="00DF36EB" w:rsidRDefault="00DF36EB" w:rsidP="00DF36EB">
      <w:pPr>
        <w:pStyle w:val="a5"/>
        <w:numPr>
          <w:ilvl w:val="0"/>
          <w:numId w:val="9"/>
        </w:numPr>
        <w:spacing w:after="0" w:line="240" w:lineRule="auto"/>
        <w:ind w:left="0" w:firstLine="709"/>
        <w:jc w:val="both"/>
        <w:rPr>
          <w:rFonts w:ascii="Times New Roman" w:hAnsi="Times New Roman" w:cs="Times New Roman"/>
          <w:sz w:val="24"/>
          <w:szCs w:val="24"/>
        </w:rPr>
      </w:pPr>
      <w:r>
        <w:rPr>
          <w:rFonts w:ascii="Times New Roman" w:hAnsi="Times New Roman" w:cs="Times New Roman"/>
          <w:b/>
          <w:sz w:val="24"/>
          <w:szCs w:val="24"/>
        </w:rPr>
        <w:t>Количество обращений на 1 тыс. человек прикрепленного населения</w:t>
      </w:r>
      <w:r>
        <w:rPr>
          <w:rFonts w:ascii="Times New Roman" w:hAnsi="Times New Roman" w:cs="Times New Roman"/>
          <w:sz w:val="24"/>
          <w:szCs w:val="24"/>
        </w:rPr>
        <w:t xml:space="preserve"> рассчитывается как отношение обращений по заболеванию к численности прикрепленного населения. Норматив составляет </w:t>
      </w:r>
      <w:r>
        <w:rPr>
          <w:rFonts w:ascii="Times New Roman" w:eastAsia="Times New Roman" w:hAnsi="Times New Roman" w:cs="Times New Roman"/>
          <w:color w:val="000000"/>
          <w:lang w:eastAsia="ru-RU"/>
        </w:rPr>
        <w:t>575,0</w:t>
      </w:r>
      <w:r>
        <w:rPr>
          <w:rFonts w:ascii="Times New Roman" w:hAnsi="Times New Roman" w:cs="Times New Roman"/>
          <w:sz w:val="24"/>
          <w:szCs w:val="24"/>
        </w:rPr>
        <w:t xml:space="preserve"> обращений на 1 тыс. застрахованных, данный показатель сложился по результатам анализа за 2019 г. Шкала баллов представляет собой следующее: 575,0 и более - 1 балл; 574,9 и менее - 0 баллов.</w:t>
      </w:r>
    </w:p>
    <w:p w14:paraId="43BE757C" w14:textId="77777777" w:rsidR="00DF36EB" w:rsidRDefault="00DF36EB" w:rsidP="00DF36EB">
      <w:pPr>
        <w:pStyle w:val="a5"/>
        <w:numPr>
          <w:ilvl w:val="0"/>
          <w:numId w:val="9"/>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Охват диспансеризаций определенных групп взрослого населения из подлежащего диспансеризации, охват профилактическими осмотрами несовершеннолетних из подлежащих профилактическим осмотрам в текущем году </w:t>
      </w:r>
      <w:r>
        <w:rPr>
          <w:rFonts w:ascii="Times New Roman" w:hAnsi="Times New Roman" w:cs="Times New Roman"/>
          <w:bCs/>
          <w:sz w:val="24"/>
          <w:szCs w:val="24"/>
        </w:rPr>
        <w:t>оценивается</w:t>
      </w:r>
      <w:r>
        <w:rPr>
          <w:rFonts w:ascii="Times New Roman" w:hAnsi="Times New Roman" w:cs="Times New Roman"/>
          <w:b/>
          <w:sz w:val="24"/>
          <w:szCs w:val="24"/>
        </w:rPr>
        <w:t xml:space="preserve"> </w:t>
      </w:r>
      <w:r>
        <w:rPr>
          <w:rFonts w:ascii="Times New Roman" w:hAnsi="Times New Roman" w:cs="Times New Roman"/>
          <w:bCs/>
          <w:sz w:val="24"/>
          <w:szCs w:val="24"/>
        </w:rPr>
        <w:t>по</w:t>
      </w:r>
      <w:r>
        <w:rPr>
          <w:rFonts w:ascii="Times New Roman" w:hAnsi="Times New Roman" w:cs="Times New Roman"/>
          <w:b/>
          <w:sz w:val="24"/>
          <w:szCs w:val="24"/>
        </w:rPr>
        <w:t xml:space="preserve"> </w:t>
      </w:r>
      <w:r>
        <w:rPr>
          <w:rFonts w:ascii="Times New Roman" w:hAnsi="Times New Roman" w:cs="Times New Roman"/>
          <w:bCs/>
          <w:sz w:val="24"/>
          <w:szCs w:val="24"/>
        </w:rPr>
        <w:t>выполнению плановых показателей диспансеризации определенных групп взрослого населения из подлежащего диспансеризации, охвату профилактическими осмотрами несовершеннолетних из подлежащих профилактическим осмотрам на 2021г. Норматив составляет не менее 80%. Шкала баллов представляет собой следующее: 80,0 % и более – 1 балл;79,9% и менее – 0 баллов.</w:t>
      </w:r>
    </w:p>
    <w:p w14:paraId="7CADFEDF"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вышеперечисленных показателей формируется рейтинг МО согласно набранному количеству баллов. Сумма сформированного Резерва распределяется между медицинскими организациями при условии набора баллов от 14 до 1.</w:t>
      </w:r>
    </w:p>
    <w:p w14:paraId="3A17A646" w14:textId="77777777" w:rsidR="00DF36EB" w:rsidRDefault="00DF36EB" w:rsidP="00DF36EB">
      <w:pPr>
        <w:spacing w:after="0" w:line="240" w:lineRule="auto"/>
        <w:ind w:firstLine="709"/>
        <w:rPr>
          <w:rFonts w:ascii="Times New Roman" w:hAnsi="Times New Roman" w:cs="Times New Roman"/>
          <w:b/>
          <w:sz w:val="24"/>
          <w:szCs w:val="24"/>
        </w:rPr>
      </w:pPr>
    </w:p>
    <w:p w14:paraId="3852AF9C" w14:textId="77777777" w:rsidR="00DF36EB" w:rsidRDefault="00DF36EB" w:rsidP="00DF36EB">
      <w:pPr>
        <w:spacing w:after="0"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программа ОМС</w:t>
      </w:r>
    </w:p>
    <w:p w14:paraId="5727C7E4"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Стимулирование МО, оказывающих социально значимые виды медицинской помощи по итогам </w:t>
      </w:r>
      <w:proofErr w:type="gramStart"/>
      <w:r>
        <w:rPr>
          <w:rFonts w:ascii="Times New Roman" w:hAnsi="Times New Roman" w:cs="Times New Roman"/>
          <w:sz w:val="24"/>
        </w:rPr>
        <w:t>квартала</w:t>
      </w:r>
      <w:proofErr w:type="gramEnd"/>
      <w:r>
        <w:rPr>
          <w:rFonts w:ascii="Times New Roman" w:hAnsi="Times New Roman" w:cs="Times New Roman"/>
          <w:sz w:val="24"/>
        </w:rPr>
        <w:t xml:space="preserve"> производится за счет средств сформированного Резерва по условиям оказания медицинской помощи. Сумма средств Резерва формируется ежемесячно в размере 1% 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2C2C55F6"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Оценка выполнения показателей деятельности и достигнутых результатов, производится ежеквартально </w:t>
      </w:r>
      <w:r>
        <w:rPr>
          <w:rFonts w:ascii="Times New Roman" w:hAnsi="Times New Roman" w:cs="Times New Roman"/>
          <w:sz w:val="24"/>
          <w:szCs w:val="24"/>
        </w:rPr>
        <w:t xml:space="preserve">рабочей группой по разработке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w:t>
      </w:r>
    </w:p>
    <w:p w14:paraId="3BEA99EE"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Оценка выполнения показателей деятельности и достигнутых результатов в </w:t>
      </w:r>
      <w:r>
        <w:rPr>
          <w:rFonts w:ascii="Times New Roman" w:hAnsi="Times New Roman" w:cs="Times New Roman"/>
          <w:sz w:val="24"/>
          <w:lang w:val="en-US"/>
        </w:rPr>
        <w:t>IV</w:t>
      </w:r>
      <w:r w:rsidRPr="00DF36EB">
        <w:rPr>
          <w:rFonts w:ascii="Times New Roman" w:hAnsi="Times New Roman" w:cs="Times New Roman"/>
          <w:sz w:val="24"/>
        </w:rPr>
        <w:t xml:space="preserve"> </w:t>
      </w:r>
      <w:r>
        <w:rPr>
          <w:rFonts w:ascii="Times New Roman" w:hAnsi="Times New Roman" w:cs="Times New Roman"/>
          <w:sz w:val="24"/>
        </w:rPr>
        <w:t>квартале проводится рабочей группой по разработке критериев результативности выполнения целевых показателей МО в декабре текущего года в связи с окончанием текущего финансового года, на основании представленных МО реестров за оказанную медицинскую помощь за октябрь и ноябрь текущего года.</w:t>
      </w:r>
    </w:p>
    <w:p w14:paraId="322017F4"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DF36EB">
      <w:pPr>
        <w:pStyle w:val="a5"/>
        <w:numPr>
          <w:ilvl w:val="0"/>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рассчитывается как отношение общего фактического количества посещений (с учетом посещений, входящих в обращения) за отчетный квартал к фактическому количеству посещений за соответствующий период предыдущего года;</w:t>
      </w:r>
    </w:p>
    <w:p w14:paraId="7F0F8DFB"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рассчитывается как отношение общего фактического количества госпитализаций за отчетный квартал к фактическому количеству за соответствующий период предыдущего года;</w:t>
      </w:r>
    </w:p>
    <w:p w14:paraId="71D35D6F"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рассчитывается как отношение общего фактического количества случаев лечения за отчетный квартал к фактическому количеству за соответствующий период предыдущего года.</w:t>
      </w:r>
    </w:p>
    <w:p w14:paraId="24803A8E"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690C551C" w14:textId="77777777" w:rsidR="00DF36EB" w:rsidRDefault="00DF36EB" w:rsidP="00DF36EB">
      <w:pPr>
        <w:spacing w:after="0" w:line="240" w:lineRule="auto"/>
        <w:ind w:firstLine="709"/>
        <w:jc w:val="center"/>
        <w:rPr>
          <w:rFonts w:ascii="Times New Roman" w:hAnsi="Times New Roman" w:cs="Times New Roman"/>
          <w:b/>
          <w:sz w:val="24"/>
        </w:rPr>
      </w:pPr>
    </w:p>
    <w:p w14:paraId="3C4E8BFE" w14:textId="77777777" w:rsidR="00DF36EB" w:rsidRDefault="00DF36EB" w:rsidP="00DF36EB">
      <w:pPr>
        <w:spacing w:after="0" w:line="240" w:lineRule="auto"/>
        <w:ind w:firstLine="709"/>
        <w:jc w:val="center"/>
        <w:rPr>
          <w:rFonts w:ascii="Times New Roman" w:hAnsi="Times New Roman" w:cs="Times New Roman"/>
          <w:b/>
          <w:sz w:val="24"/>
        </w:rPr>
      </w:pPr>
    </w:p>
    <w:p w14:paraId="2C5D6E0F" w14:textId="77777777" w:rsidR="00DF36EB" w:rsidRDefault="00DF36EB" w:rsidP="00DF36EB">
      <w:pPr>
        <w:spacing w:after="0" w:line="240" w:lineRule="auto"/>
        <w:ind w:firstLine="709"/>
        <w:jc w:val="center"/>
        <w:rPr>
          <w:rFonts w:ascii="Times New Roman" w:hAnsi="Times New Roman" w:cs="Times New Roman"/>
        </w:rPr>
      </w:pPr>
      <w:r>
        <w:rPr>
          <w:rFonts w:ascii="Times New Roman" w:hAnsi="Times New Roman" w:cs="Times New Roman"/>
          <w:b/>
          <w:sz w:val="24"/>
          <w:lang w:val="en-US"/>
        </w:rPr>
        <w:t>II</w:t>
      </w:r>
      <w:r>
        <w:rPr>
          <w:rFonts w:ascii="Times New Roman" w:hAnsi="Times New Roman" w:cs="Times New Roman"/>
          <w:b/>
          <w:sz w:val="24"/>
        </w:rPr>
        <w:t xml:space="preserve">. 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 </w:t>
      </w:r>
    </w:p>
    <w:p w14:paraId="175406AD" w14:textId="77777777" w:rsidR="00DF36EB" w:rsidRDefault="00DF36EB" w:rsidP="00DF36EB">
      <w:pPr>
        <w:spacing w:after="0" w:line="240" w:lineRule="auto"/>
        <w:ind w:firstLine="709"/>
        <w:rPr>
          <w:rFonts w:ascii="Times New Roman" w:hAnsi="Times New Roman" w:cs="Times New Roman"/>
          <w:b/>
          <w:sz w:val="24"/>
          <w:szCs w:val="24"/>
        </w:rPr>
      </w:pPr>
    </w:p>
    <w:p w14:paraId="0D90CA6E" w14:textId="77777777" w:rsidR="00DF36EB" w:rsidRDefault="00DF36EB" w:rsidP="00DF36E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06B29E8E"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Определение размера стимулирующих выплат по итогам квартала в рамках базовой программы осуществляется следующим образом:</w:t>
      </w:r>
    </w:p>
    <w:p w14:paraId="0D7950BB" w14:textId="77777777" w:rsidR="00DF36EB" w:rsidRDefault="00DF36EB" w:rsidP="00DF36EB">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Размер стимулирующих выплат по итогам квартала для </w:t>
      </w:r>
      <w:proofErr w:type="spellStart"/>
      <w:r>
        <w:rPr>
          <w:rFonts w:ascii="Times New Roman" w:hAnsi="Times New Roman" w:cs="Times New Roman"/>
          <w:sz w:val="28"/>
          <w:lang w:val="en-US"/>
        </w:rPr>
        <w:t>i</w:t>
      </w:r>
      <w:proofErr w:type="spellEnd"/>
      <w:r>
        <w:rPr>
          <w:rFonts w:ascii="Times New Roman" w:hAnsi="Times New Roman" w:cs="Times New Roman"/>
          <w:sz w:val="28"/>
        </w:rPr>
        <w:t>-той медицинской организации (СВ</w:t>
      </w:r>
      <w:proofErr w:type="spellStart"/>
      <w:r>
        <w:rPr>
          <w:rFonts w:ascii="Times New Roman" w:hAnsi="Times New Roman" w:cs="Times New Roman"/>
          <w:sz w:val="28"/>
          <w:lang w:val="en-US"/>
        </w:rPr>
        <w:t>i</w:t>
      </w:r>
      <w:proofErr w:type="spellEnd"/>
      <w:r>
        <w:rPr>
          <w:rFonts w:ascii="Times New Roman" w:hAnsi="Times New Roman" w:cs="Times New Roman"/>
          <w:sz w:val="28"/>
        </w:rPr>
        <w:t>) определяется по формуле:</w:t>
      </w:r>
    </w:p>
    <w:p w14:paraId="021AD0AE" w14:textId="77777777" w:rsidR="00DF36EB" w:rsidRDefault="00DF36EB" w:rsidP="00DF36EB">
      <w:pPr>
        <w:spacing w:after="0" w:line="240" w:lineRule="auto"/>
        <w:ind w:firstLine="709"/>
        <w:jc w:val="both"/>
        <w:rPr>
          <w:rFonts w:ascii="Times New Roman" w:eastAsiaTheme="minorEastAsia" w:hAnsi="Times New Roman" w:cs="Times New Roman"/>
          <w:sz w:val="36"/>
          <w:szCs w:val="32"/>
        </w:rPr>
      </w:pPr>
      <w:r>
        <w:rPr>
          <w:rFonts w:ascii="Times New Roman" w:hAnsi="Times New Roman" w:cs="Times New Roman"/>
          <w:sz w:val="36"/>
          <w:szCs w:val="32"/>
        </w:rPr>
        <w:t>СВ</w:t>
      </w:r>
      <w:proofErr w:type="spellStart"/>
      <w:r>
        <w:rPr>
          <w:rFonts w:ascii="Times New Roman" w:hAnsi="Times New Roman" w:cs="Times New Roman"/>
          <w:sz w:val="36"/>
          <w:szCs w:val="32"/>
          <w:lang w:val="en-US"/>
        </w:rPr>
        <w:t>i</w:t>
      </w:r>
      <w:proofErr w:type="spellEnd"/>
      <w:r w:rsidRPr="00DF36EB">
        <w:rPr>
          <w:rFonts w:ascii="Times New Roman" w:hAnsi="Times New Roman" w:cs="Times New Roman"/>
          <w:sz w:val="36"/>
          <w:szCs w:val="32"/>
        </w:rPr>
        <w:t xml:space="preserve"> </w:t>
      </w:r>
      <w:r>
        <w:rPr>
          <w:rFonts w:ascii="Times New Roman" w:eastAsiaTheme="minorEastAsia" w:hAnsi="Times New Roman" w:cs="Times New Roman"/>
          <w:sz w:val="36"/>
          <w:szCs w:val="32"/>
        </w:rPr>
        <w:t xml:space="preserve">=  </w:t>
      </w:r>
      <m:oMath>
        <m:f>
          <m:fPr>
            <m:ctrlPr>
              <w:rPr>
                <w:rFonts w:ascii="Cambria Math" w:hAnsi="Cambria Math" w:cs="Times New Roman"/>
                <w:i/>
                <w:sz w:val="36"/>
                <w:szCs w:val="32"/>
              </w:rPr>
            </m:ctrlPr>
          </m:fPr>
          <m:num>
            <m:r>
              <w:rPr>
                <w:rFonts w:ascii="Cambria Math" w:hAnsi="Cambria Math" w:cs="Times New Roman"/>
                <w:sz w:val="36"/>
                <w:szCs w:val="32"/>
              </w:rPr>
              <m:t>Р</m:t>
            </m:r>
            <m:r>
              <m:rPr>
                <m:sty m:val="p"/>
              </m:rPr>
              <w:rPr>
                <w:rFonts w:ascii="Cambria Math" w:hAnsi="Cambria Math" w:cs="Times New Roman"/>
                <w:sz w:val="36"/>
                <w:szCs w:val="32"/>
                <w:lang w:val="en-US"/>
              </w:rPr>
              <m:t>l</m:t>
            </m:r>
          </m:num>
          <m:den>
            <m:nary>
              <m:naryPr>
                <m:chr m:val="∑"/>
                <m:limLoc m:val="undOvr"/>
                <m:subHide m:val="1"/>
                <m:supHide m:val="1"/>
                <m:ctrlPr>
                  <w:rPr>
                    <w:rFonts w:ascii="Cambria Math" w:hAnsi="Cambria Math" w:cs="Times New Roman"/>
                    <w:i/>
                    <w:sz w:val="36"/>
                    <w:szCs w:val="32"/>
                  </w:rPr>
                </m:ctrlPr>
              </m:naryPr>
              <m:sub/>
              <m:sup/>
              <m:e>
                <m:r>
                  <w:rPr>
                    <w:rFonts w:ascii="Cambria Math" w:hAnsi="Cambria Math" w:cs="Times New Roman"/>
                    <w:sz w:val="36"/>
                    <w:szCs w:val="32"/>
                  </w:rPr>
                  <m:t>(Числ</m:t>
                </m:r>
                <m:r>
                  <m:rPr>
                    <m:sty m:val="p"/>
                  </m:rPr>
                  <w:rPr>
                    <w:rFonts w:ascii="Cambria Math" w:hAnsi="Cambria Math" w:cs="Times New Roman"/>
                    <w:sz w:val="36"/>
                    <w:szCs w:val="32"/>
                    <w:lang w:val="en-US"/>
                  </w:rPr>
                  <m:t>i</m:t>
                </m:r>
                <m:r>
                  <m:rPr>
                    <m:sty m:val="p"/>
                  </m:rPr>
                  <w:rPr>
                    <w:rFonts w:ascii="Cambria Math" w:hAnsi="Cambria Math" w:cs="Times New Roman"/>
                    <w:sz w:val="36"/>
                    <w:szCs w:val="32"/>
                  </w:rPr>
                  <m:t>*Б</m:t>
                </m:r>
                <m:r>
                  <m:rPr>
                    <m:sty m:val="p"/>
                  </m:rPr>
                  <w:rPr>
                    <w:rFonts w:ascii="Cambria Math" w:hAnsi="Cambria Math" w:cs="Times New Roman"/>
                    <w:sz w:val="36"/>
                    <w:szCs w:val="32"/>
                    <w:lang w:val="en-US"/>
                  </w:rPr>
                  <m:t>i</m:t>
                </m:r>
                <m:r>
                  <m:rPr>
                    <m:sty m:val="p"/>
                  </m:rPr>
                  <w:rPr>
                    <w:rFonts w:ascii="Cambria Math" w:hAnsi="Cambria Math" w:cs="Times New Roman"/>
                    <w:sz w:val="36"/>
                    <w:szCs w:val="32"/>
                  </w:rPr>
                  <m:t>)</m:t>
                </m:r>
              </m:e>
            </m:nary>
          </m:den>
        </m:f>
      </m:oMath>
      <w:r>
        <w:rPr>
          <w:rFonts w:ascii="Times New Roman" w:eastAsiaTheme="minorEastAsia" w:hAnsi="Times New Roman" w:cs="Times New Roman"/>
          <w:sz w:val="36"/>
          <w:szCs w:val="32"/>
        </w:rPr>
        <w:t xml:space="preserve"> * </w:t>
      </w:r>
      <w:r>
        <w:rPr>
          <w:rFonts w:ascii="Times New Roman" w:hAnsi="Times New Roman" w:cs="Times New Roman"/>
          <w:sz w:val="36"/>
          <w:szCs w:val="32"/>
        </w:rPr>
        <w:t>Б</w:t>
      </w:r>
      <w:proofErr w:type="spellStart"/>
      <w:r>
        <w:rPr>
          <w:rFonts w:ascii="Times New Roman" w:hAnsi="Times New Roman" w:cs="Times New Roman"/>
          <w:sz w:val="36"/>
          <w:szCs w:val="32"/>
          <w:lang w:val="en-US"/>
        </w:rPr>
        <w:t>i</w:t>
      </w:r>
      <w:proofErr w:type="spellEnd"/>
      <w:r>
        <w:rPr>
          <w:rFonts w:ascii="Times New Roman" w:hAnsi="Times New Roman" w:cs="Times New Roman"/>
          <w:sz w:val="36"/>
          <w:szCs w:val="32"/>
        </w:rPr>
        <w:t xml:space="preserve"> * </w:t>
      </w:r>
      <m:oMath>
        <m:r>
          <w:rPr>
            <w:rFonts w:ascii="Cambria Math" w:hAnsi="Cambria Math" w:cs="Times New Roman"/>
            <w:sz w:val="36"/>
            <w:szCs w:val="32"/>
          </w:rPr>
          <m:t>Числi</m:t>
        </m:r>
      </m:oMath>
    </w:p>
    <w:p w14:paraId="59C46645" w14:textId="77777777" w:rsidR="00DF36EB" w:rsidRDefault="00DF36EB" w:rsidP="00DF36EB">
      <w:pPr>
        <w:spacing w:after="0" w:line="240" w:lineRule="auto"/>
        <w:ind w:firstLine="709"/>
        <w:jc w:val="both"/>
        <w:rPr>
          <w:rFonts w:ascii="Times New Roman" w:hAnsi="Times New Roman" w:cs="Times New Roman"/>
          <w:sz w:val="24"/>
        </w:rPr>
      </w:pPr>
    </w:p>
    <w:p w14:paraId="5E9454B6"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7B82AD52"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5F400F82"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w:t>
      </w:r>
      <w:r>
        <w:rPr>
          <w:rFonts w:ascii="Times New Roman" w:hAnsi="Times New Roman" w:cs="Times New Roman"/>
          <w:sz w:val="24"/>
          <w:lang w:val="en-US"/>
        </w:rPr>
        <w:t>l</w:t>
      </w:r>
      <w:r>
        <w:rPr>
          <w:rFonts w:ascii="Times New Roman" w:hAnsi="Times New Roman" w:cs="Times New Roman"/>
          <w:sz w:val="24"/>
        </w:rPr>
        <w:t xml:space="preserve"> – средства Резерва, сформированного по итогам квартала для распределения в группе </w:t>
      </w:r>
      <w:r>
        <w:rPr>
          <w:rFonts w:ascii="Times New Roman" w:hAnsi="Times New Roman" w:cs="Times New Roman"/>
          <w:sz w:val="24"/>
          <w:lang w:val="en-US"/>
        </w:rPr>
        <w:t>l</w:t>
      </w:r>
      <w:r>
        <w:rPr>
          <w:rFonts w:ascii="Times New Roman" w:hAnsi="Times New Roman" w:cs="Times New Roman"/>
          <w:sz w:val="24"/>
        </w:rPr>
        <w:t>;</w:t>
      </w:r>
    </w:p>
    <w:p w14:paraId="379FDDA5" w14:textId="77777777" w:rsidR="00DF36EB" w:rsidRDefault="00DF36EB" w:rsidP="00DF36EB">
      <w:pPr>
        <w:spacing w:after="0" w:line="240" w:lineRule="auto"/>
        <w:ind w:firstLine="709"/>
        <w:jc w:val="both"/>
        <w:rPr>
          <w:rFonts w:ascii="Times New Roman" w:eastAsiaTheme="minorEastAsia" w:hAnsi="Times New Roman" w:cs="Times New Roman"/>
          <w:sz w:val="24"/>
        </w:rPr>
      </w:pPr>
      <m:oMath>
        <m:r>
          <w:rPr>
            <w:rFonts w:ascii="Cambria Math" w:hAnsi="Cambria Math" w:cs="Times New Roman"/>
            <w:sz w:val="24"/>
          </w:rPr>
          <m:t>Числi</m:t>
        </m:r>
      </m:oMath>
      <w:r>
        <w:rPr>
          <w:rFonts w:ascii="Times New Roman" w:eastAsiaTheme="minorEastAsia" w:hAnsi="Times New Roman" w:cs="Times New Roman"/>
          <w:sz w:val="24"/>
        </w:rPr>
        <w:t xml:space="preserve"> – численность застрахованных лиц МО, набравших баллы в отчетном периоде;</w:t>
      </w:r>
    </w:p>
    <w:p w14:paraId="0B06E09B"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Б</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количество баллов, набранное МО.</w:t>
      </w:r>
    </w:p>
    <w:p w14:paraId="21E34FBC"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876A655" w14:textId="77777777" w:rsidR="00DF36EB" w:rsidRDefault="00DF36EB" w:rsidP="00DF36EB">
      <w:pPr>
        <w:spacing w:after="0" w:line="240" w:lineRule="auto"/>
        <w:ind w:firstLine="709"/>
        <w:jc w:val="both"/>
        <w:rPr>
          <w:rFonts w:ascii="Times New Roman" w:eastAsiaTheme="minorEastAsia" w:hAnsi="Times New Roman" w:cs="Times New Roman"/>
          <w:sz w:val="36"/>
        </w:rPr>
      </w:pPr>
      <w:proofErr w:type="spellStart"/>
      <w:r>
        <w:rPr>
          <w:rFonts w:ascii="Times New Roman" w:hAnsi="Times New Roman" w:cs="Times New Roman"/>
          <w:sz w:val="36"/>
        </w:rPr>
        <w:t>Кп</w:t>
      </w:r>
      <w:proofErr w:type="spellEnd"/>
      <w:r>
        <w:rPr>
          <w:rFonts w:ascii="Times New Roman" w:hAnsi="Times New Roman" w:cs="Times New Roman"/>
          <w:sz w:val="36"/>
        </w:rPr>
        <w:t xml:space="preserve"> = </w:t>
      </w:r>
      <m:oMath>
        <m:f>
          <m:fPr>
            <m:ctrlPr>
              <w:rPr>
                <w:rFonts w:ascii="Cambria Math" w:hAnsi="Cambria Math" w:cs="Times New Roman"/>
                <w:i/>
                <w:sz w:val="36"/>
                <w:szCs w:val="36"/>
              </w:rPr>
            </m:ctrlPr>
          </m:fPr>
          <m:num>
            <m:r>
              <m:rPr>
                <m:sty m:val="p"/>
              </m:rPr>
              <w:rPr>
                <w:rFonts w:ascii="Cambria Math" w:hAnsi="Cambria Math" w:cs="Times New Roman"/>
                <w:sz w:val="36"/>
              </w:rPr>
              <m:t>Р</m:t>
            </m:r>
            <m:r>
              <m:rPr>
                <m:sty m:val="p"/>
              </m:rPr>
              <w:rPr>
                <w:rFonts w:ascii="Cambria Math" w:hAnsi="Cambria Math" w:cs="Times New Roman"/>
                <w:sz w:val="36"/>
                <w:lang w:val="en-US"/>
              </w:rPr>
              <m:t>l</m:t>
            </m:r>
            <m:r>
              <m:rPr>
                <m:sty m:val="p"/>
              </m:rPr>
              <w:rPr>
                <w:rFonts w:ascii="Cambria Math" w:hAnsi="Cambria Math" w:cs="Times New Roman"/>
                <w:sz w:val="36"/>
              </w:rPr>
              <m:t xml:space="preserve"> </m:t>
            </m:r>
          </m:num>
          <m:den>
            <m:nary>
              <m:naryPr>
                <m:chr m:val="∑"/>
                <m:limLoc m:val="undOvr"/>
                <m:subHide m:val="1"/>
                <m:supHide m:val="1"/>
                <m:ctrlPr>
                  <w:rPr>
                    <w:rFonts w:ascii="Cambria Math" w:hAnsi="Cambria Math" w:cs="Times New Roman"/>
                    <w:i/>
                    <w:sz w:val="36"/>
                    <w:szCs w:val="36"/>
                  </w:rPr>
                </m:ctrlPr>
              </m:naryPr>
              <m:sub/>
              <m:sup/>
              <m:e>
                <m:r>
                  <m:rPr>
                    <m:sty m:val="p"/>
                  </m:rPr>
                  <w:rPr>
                    <w:rFonts w:ascii="Cambria Math" w:hAnsi="Cambria Math" w:cs="Times New Roman"/>
                    <w:sz w:val="36"/>
                  </w:rPr>
                  <m:t>СВ</m:t>
                </m:r>
                <m:r>
                  <m:rPr>
                    <m:sty m:val="p"/>
                  </m:rPr>
                  <w:rPr>
                    <w:rFonts w:ascii="Cambria Math" w:hAnsi="Cambria Math" w:cs="Times New Roman"/>
                    <w:sz w:val="36"/>
                    <w:lang w:val="en-US"/>
                  </w:rPr>
                  <m:t>i</m:t>
                </m:r>
              </m:e>
            </m:nary>
          </m:den>
        </m:f>
      </m:oMath>
    </w:p>
    <w:p w14:paraId="6AD7C5D8"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72CDEDCC" w14:textId="77777777" w:rsidR="00DF36EB" w:rsidRDefault="00DF36EB" w:rsidP="00DF36EB">
      <w:pPr>
        <w:spacing w:after="0" w:line="240" w:lineRule="auto"/>
        <w:ind w:firstLine="709"/>
        <w:jc w:val="both"/>
        <w:rPr>
          <w:rFonts w:ascii="Times New Roman" w:hAnsi="Times New Roman" w:cs="Times New Roman"/>
          <w:sz w:val="24"/>
        </w:rPr>
      </w:pPr>
      <w:proofErr w:type="spellStart"/>
      <w:r>
        <w:rPr>
          <w:rFonts w:ascii="Times New Roman" w:hAnsi="Times New Roman" w:cs="Times New Roman"/>
          <w:sz w:val="24"/>
        </w:rPr>
        <w:t>Кп</w:t>
      </w:r>
      <w:proofErr w:type="spellEnd"/>
      <w:r>
        <w:rPr>
          <w:rFonts w:ascii="Times New Roman" w:hAnsi="Times New Roman" w:cs="Times New Roman"/>
          <w:sz w:val="24"/>
        </w:rPr>
        <w:t xml:space="preserve"> - поправочный коэффициент;</w:t>
      </w:r>
    </w:p>
    <w:p w14:paraId="61288E8A"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w:t>
      </w:r>
      <w:r>
        <w:rPr>
          <w:rFonts w:ascii="Times New Roman" w:hAnsi="Times New Roman" w:cs="Times New Roman"/>
          <w:sz w:val="24"/>
          <w:lang w:val="en-US"/>
        </w:rPr>
        <w:t>l</w:t>
      </w:r>
      <w:r>
        <w:rPr>
          <w:rFonts w:ascii="Times New Roman" w:hAnsi="Times New Roman" w:cs="Times New Roman"/>
          <w:sz w:val="24"/>
        </w:rPr>
        <w:t xml:space="preserve"> – средства Резерва, сформированного по итогам квартала для распределения в группе </w:t>
      </w:r>
      <w:r>
        <w:rPr>
          <w:rFonts w:ascii="Times New Roman" w:hAnsi="Times New Roman" w:cs="Times New Roman"/>
          <w:sz w:val="24"/>
          <w:lang w:val="en-US"/>
        </w:rPr>
        <w:t>l</w:t>
      </w:r>
      <w:r>
        <w:rPr>
          <w:rFonts w:ascii="Times New Roman" w:hAnsi="Times New Roman" w:cs="Times New Roman"/>
          <w:sz w:val="24"/>
        </w:rPr>
        <w:t>;</w:t>
      </w:r>
    </w:p>
    <w:p w14:paraId="6BF11F78"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1C51288B"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Размер средств, получаемых каждой МО за достигнутые показатели, распределяется между СМО пропорционально численности застрахованных лиц, прикрепленных к МО. Учет средств Резерва, производится СМО, по каждой МО, оказывающих первичную медико-санитарную помощь и имеющих прикрепленное население.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708D3057" w14:textId="77777777" w:rsidR="00DF36EB" w:rsidRDefault="00DF36EB" w:rsidP="00DF36EB">
      <w:pPr>
        <w:spacing w:after="0" w:line="240" w:lineRule="auto"/>
        <w:ind w:firstLine="709"/>
        <w:jc w:val="both"/>
        <w:rPr>
          <w:rFonts w:ascii="Times New Roman" w:hAnsi="Times New Roman" w:cs="Times New Roman"/>
          <w:sz w:val="24"/>
        </w:rPr>
      </w:pPr>
    </w:p>
    <w:p w14:paraId="73845D42" w14:textId="77777777" w:rsidR="00DF36EB" w:rsidRDefault="00DF36EB" w:rsidP="00DF36EB">
      <w:pPr>
        <w:spacing w:after="0"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программа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Определение размера стимулирующих выплат по итогам квартала в рамках сверх базовой программы осуществляется следующим образом:</w:t>
      </w:r>
    </w:p>
    <w:p w14:paraId="2486AB0B" w14:textId="77777777" w:rsidR="00DF36EB" w:rsidRDefault="00DF36EB" w:rsidP="00DF36EB">
      <w:pPr>
        <w:pStyle w:val="a5"/>
        <w:numPr>
          <w:ilvl w:val="0"/>
          <w:numId w:val="11"/>
        </w:numPr>
        <w:spacing w:after="0" w:line="240" w:lineRule="auto"/>
        <w:ind w:left="0" w:firstLine="709"/>
        <w:jc w:val="both"/>
        <w:rPr>
          <w:rFonts w:ascii="Times New Roman" w:eastAsiaTheme="minorEastAsia" w:hAnsi="Times New Roman" w:cs="Times New Roman"/>
          <w:sz w:val="28"/>
          <w:szCs w:val="32"/>
        </w:rPr>
      </w:pPr>
      <w:r>
        <w:rPr>
          <w:rFonts w:ascii="Times New Roman" w:eastAsiaTheme="minorEastAsia" w:hAnsi="Times New Roman" w:cs="Times New Roman"/>
          <w:sz w:val="28"/>
          <w:szCs w:val="32"/>
        </w:rPr>
        <w:t>В амбулаторных условиях:</w:t>
      </w:r>
    </w:p>
    <w:p w14:paraId="5D5C8C67" w14:textId="77777777" w:rsidR="00DF36EB" w:rsidRDefault="00DF36EB" w:rsidP="00DF36EB">
      <w:pPr>
        <w:spacing w:after="0" w:line="240" w:lineRule="auto"/>
        <w:ind w:firstLine="709"/>
        <w:jc w:val="both"/>
        <w:rPr>
          <w:rFonts w:ascii="Times New Roman" w:eastAsiaTheme="minorEastAsia" w:hAnsi="Times New Roman" w:cs="Times New Roman"/>
          <w:sz w:val="36"/>
          <w:szCs w:val="32"/>
        </w:rPr>
      </w:pPr>
      <w:r>
        <w:rPr>
          <w:rFonts w:ascii="Times New Roman" w:hAnsi="Times New Roman" w:cs="Times New Roman"/>
          <w:sz w:val="36"/>
          <w:szCs w:val="32"/>
        </w:rPr>
        <w:t>СВ</w:t>
      </w:r>
      <w:proofErr w:type="spellStart"/>
      <w:r>
        <w:rPr>
          <w:rFonts w:ascii="Times New Roman" w:hAnsi="Times New Roman" w:cs="Times New Roman"/>
          <w:sz w:val="36"/>
          <w:szCs w:val="32"/>
          <w:lang w:val="en-US"/>
        </w:rPr>
        <w:t>i</w:t>
      </w:r>
      <w:proofErr w:type="spellEnd"/>
      <w:r w:rsidRPr="00DF36EB">
        <w:rPr>
          <w:rFonts w:ascii="Times New Roman" w:hAnsi="Times New Roman" w:cs="Times New Roman"/>
          <w:sz w:val="36"/>
          <w:szCs w:val="32"/>
        </w:rPr>
        <w:t xml:space="preserve"> </w:t>
      </w:r>
      <w:r>
        <w:rPr>
          <w:rFonts w:ascii="Times New Roman" w:eastAsiaTheme="minorEastAsia" w:hAnsi="Times New Roman" w:cs="Times New Roman"/>
          <w:sz w:val="36"/>
          <w:szCs w:val="32"/>
        </w:rPr>
        <w:t xml:space="preserve">=  </w:t>
      </w:r>
      <m:oMath>
        <m:f>
          <m:fPr>
            <m:ctrlPr>
              <w:rPr>
                <w:rFonts w:ascii="Cambria Math" w:hAnsi="Cambria Math" w:cs="Times New Roman"/>
                <w:i/>
                <w:sz w:val="36"/>
                <w:szCs w:val="32"/>
              </w:rPr>
            </m:ctrlPr>
          </m:fPr>
          <m:num>
            <m:r>
              <w:rPr>
                <w:rFonts w:ascii="Cambria Math" w:hAnsi="Cambria Math" w:cs="Times New Roman"/>
                <w:sz w:val="36"/>
                <w:szCs w:val="32"/>
              </w:rPr>
              <m:t>Рpl</m:t>
            </m:r>
          </m:num>
          <m:den>
            <m:nary>
              <m:naryPr>
                <m:chr m:val="∑"/>
                <m:limLoc m:val="undOvr"/>
                <m:subHide m:val="1"/>
                <m:supHide m:val="1"/>
                <m:ctrlPr>
                  <w:rPr>
                    <w:rFonts w:ascii="Cambria Math" w:hAnsi="Cambria Math" w:cs="Times New Roman"/>
                    <w:i/>
                    <w:sz w:val="36"/>
                    <w:szCs w:val="32"/>
                  </w:rPr>
                </m:ctrlPr>
              </m:naryPr>
              <m:sub/>
              <m:sup/>
              <m:e>
                <m:r>
                  <m:rPr>
                    <m:sty m:val="p"/>
                  </m:rPr>
                  <w:rPr>
                    <w:rFonts w:ascii="Cambria Math" w:hAnsi="Cambria Math" w:cs="Times New Roman"/>
                    <w:sz w:val="36"/>
                    <w:szCs w:val="32"/>
                  </w:rPr>
                  <m:t>Б</m:t>
                </m:r>
                <m:r>
                  <m:rPr>
                    <m:sty m:val="p"/>
                  </m:rPr>
                  <w:rPr>
                    <w:rFonts w:ascii="Cambria Math" w:hAnsi="Cambria Math" w:cs="Times New Roman"/>
                    <w:sz w:val="36"/>
                    <w:szCs w:val="32"/>
                    <w:lang w:val="en-US"/>
                  </w:rPr>
                  <m:t>i</m:t>
                </m:r>
              </m:e>
            </m:nary>
          </m:den>
        </m:f>
      </m:oMath>
      <w:r>
        <w:rPr>
          <w:rFonts w:ascii="Times New Roman" w:eastAsiaTheme="minorEastAsia" w:hAnsi="Times New Roman" w:cs="Times New Roman"/>
          <w:sz w:val="36"/>
          <w:szCs w:val="32"/>
        </w:rPr>
        <w:t xml:space="preserve"> * </w:t>
      </w:r>
      <m:oMath>
        <m:f>
          <m:fPr>
            <m:ctrlPr>
              <w:rPr>
                <w:rFonts w:ascii="Cambria Math" w:eastAsiaTheme="minorEastAsia" w:hAnsi="Cambria Math" w:cs="Times New Roman"/>
                <w:sz w:val="36"/>
                <w:szCs w:val="32"/>
              </w:rPr>
            </m:ctrlPr>
          </m:fPr>
          <m:num>
            <m:r>
              <m:rPr>
                <m:sty m:val="p"/>
              </m:rPr>
              <w:rPr>
                <w:rFonts w:ascii="Cambria Math" w:eastAsiaTheme="minorEastAsia" w:hAnsi="Cambria Math" w:cs="Times New Roman"/>
                <w:sz w:val="36"/>
                <w:szCs w:val="32"/>
              </w:rPr>
              <m:t xml:space="preserve">УВi*Бi </m:t>
            </m:r>
          </m:num>
          <m:den>
            <m:r>
              <w:rPr>
                <w:rFonts w:ascii="Cambria Math" w:eastAsiaTheme="minorEastAsia" w:hAnsi="Cambria Math" w:cs="Times New Roman"/>
                <w:sz w:val="36"/>
                <w:szCs w:val="32"/>
              </w:rPr>
              <m:t>Σ(</m:t>
            </m:r>
            <m:r>
              <m:rPr>
                <m:sty m:val="p"/>
              </m:rPr>
              <w:rPr>
                <w:rFonts w:ascii="Cambria Math" w:eastAsiaTheme="minorEastAsia" w:hAnsi="Cambria Math" w:cs="Times New Roman"/>
                <w:sz w:val="36"/>
                <w:szCs w:val="32"/>
              </w:rPr>
              <m:t xml:space="preserve">УВi*Бi )/ΣБ </m:t>
            </m:r>
          </m:den>
        </m:f>
      </m:oMath>
    </w:p>
    <w:p w14:paraId="4283293A"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3CD17FCB"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4C2073E6"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w:t>
      </w:r>
      <w:r>
        <w:rPr>
          <w:rFonts w:ascii="Times New Roman" w:hAnsi="Times New Roman" w:cs="Times New Roman"/>
          <w:sz w:val="24"/>
          <w:lang w:val="en-US"/>
        </w:rPr>
        <w:t>pl</w:t>
      </w:r>
      <w:r>
        <w:rPr>
          <w:rFonts w:ascii="Times New Roman" w:hAnsi="Times New Roman" w:cs="Times New Roman"/>
          <w:sz w:val="24"/>
        </w:rPr>
        <w:t xml:space="preserve"> – средства Резерва, сформированного по итогам квартала для распределения в амбулаторных условиях;</w:t>
      </w:r>
    </w:p>
    <w:p w14:paraId="140B20A4"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Б</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количество баллов, набранное МО;</w:t>
      </w:r>
    </w:p>
    <w:p w14:paraId="09EFDE24" w14:textId="77777777" w:rsidR="00DF36EB" w:rsidRDefault="00DF36EB" w:rsidP="00DF36EB">
      <w:pPr>
        <w:spacing w:after="0" w:line="240" w:lineRule="auto"/>
        <w:ind w:left="709"/>
        <w:jc w:val="both"/>
        <w:rPr>
          <w:rFonts w:ascii="Times New Roman" w:eastAsiaTheme="minorEastAsia" w:hAnsi="Times New Roman" w:cs="Times New Roman"/>
          <w:sz w:val="24"/>
          <w:szCs w:val="32"/>
        </w:rPr>
      </w:pPr>
      <w:proofErr w:type="spellStart"/>
      <w:r>
        <w:rPr>
          <w:rFonts w:ascii="Times New Roman" w:eastAsiaTheme="minorEastAsia" w:hAnsi="Times New Roman" w:cs="Times New Roman"/>
          <w:sz w:val="24"/>
          <w:szCs w:val="32"/>
        </w:rPr>
        <w:t>УВi</w:t>
      </w:r>
      <w:proofErr w:type="spellEnd"/>
      <w:r>
        <w:rPr>
          <w:rFonts w:ascii="Times New Roman" w:eastAsiaTheme="minorEastAsia" w:hAnsi="Times New Roman" w:cs="Times New Roman"/>
          <w:sz w:val="24"/>
          <w:szCs w:val="32"/>
        </w:rPr>
        <w:t xml:space="preserve"> – удельный вес МО в общем финансировании.</w:t>
      </w:r>
    </w:p>
    <w:p w14:paraId="5229C526" w14:textId="77777777" w:rsidR="00DF36EB" w:rsidRDefault="00DF36EB" w:rsidP="00DF36EB">
      <w:pPr>
        <w:spacing w:after="0" w:line="240" w:lineRule="auto"/>
        <w:ind w:left="709"/>
        <w:jc w:val="both"/>
        <w:rPr>
          <w:rFonts w:ascii="Times New Roman" w:eastAsiaTheme="minorEastAsia" w:hAnsi="Times New Roman" w:cs="Times New Roman"/>
          <w:sz w:val="28"/>
          <w:szCs w:val="32"/>
        </w:rPr>
      </w:pPr>
    </w:p>
    <w:p w14:paraId="277D13E1" w14:textId="77777777" w:rsidR="00DF36EB" w:rsidRDefault="00DF36EB" w:rsidP="00DF36EB">
      <w:pPr>
        <w:pStyle w:val="a5"/>
        <w:numPr>
          <w:ilvl w:val="0"/>
          <w:numId w:val="11"/>
        </w:numPr>
        <w:spacing w:after="0" w:line="240" w:lineRule="auto"/>
        <w:ind w:left="0" w:firstLine="709"/>
        <w:jc w:val="both"/>
        <w:rPr>
          <w:rFonts w:ascii="Times New Roman" w:eastAsiaTheme="minorEastAsia" w:hAnsi="Times New Roman" w:cs="Times New Roman"/>
          <w:sz w:val="28"/>
          <w:szCs w:val="32"/>
        </w:rPr>
      </w:pPr>
      <w:r>
        <w:rPr>
          <w:rFonts w:ascii="Times New Roman" w:eastAsiaTheme="minorEastAsia" w:hAnsi="Times New Roman" w:cs="Times New Roman"/>
          <w:sz w:val="28"/>
          <w:szCs w:val="32"/>
        </w:rPr>
        <w:t>В условиях круглосуточного стационара:</w:t>
      </w:r>
    </w:p>
    <w:p w14:paraId="047066C0" w14:textId="77777777" w:rsidR="00DF36EB" w:rsidRDefault="00DF36EB" w:rsidP="00DF36EB">
      <w:pPr>
        <w:spacing w:after="0" w:line="240" w:lineRule="auto"/>
        <w:ind w:firstLine="708"/>
        <w:jc w:val="both"/>
        <w:rPr>
          <w:rFonts w:ascii="Times New Roman" w:eastAsiaTheme="minorEastAsia" w:hAnsi="Times New Roman" w:cs="Times New Roman"/>
          <w:sz w:val="36"/>
          <w:szCs w:val="32"/>
        </w:rPr>
      </w:pPr>
      <w:r>
        <w:rPr>
          <w:rFonts w:ascii="Times New Roman" w:hAnsi="Times New Roman" w:cs="Times New Roman"/>
          <w:sz w:val="36"/>
          <w:szCs w:val="32"/>
        </w:rPr>
        <w:t>СВ</w:t>
      </w:r>
      <w:proofErr w:type="spellStart"/>
      <w:r>
        <w:rPr>
          <w:rFonts w:ascii="Times New Roman" w:hAnsi="Times New Roman" w:cs="Times New Roman"/>
          <w:sz w:val="36"/>
          <w:szCs w:val="32"/>
          <w:lang w:val="en-US"/>
        </w:rPr>
        <w:t>i</w:t>
      </w:r>
      <w:proofErr w:type="spellEnd"/>
      <w:r w:rsidRPr="00DF36EB">
        <w:rPr>
          <w:rFonts w:ascii="Times New Roman" w:hAnsi="Times New Roman" w:cs="Times New Roman"/>
          <w:sz w:val="36"/>
          <w:szCs w:val="32"/>
        </w:rPr>
        <w:t xml:space="preserve"> </w:t>
      </w:r>
      <w:r>
        <w:rPr>
          <w:rFonts w:ascii="Times New Roman" w:eastAsiaTheme="minorEastAsia" w:hAnsi="Times New Roman" w:cs="Times New Roman"/>
          <w:sz w:val="36"/>
          <w:szCs w:val="32"/>
        </w:rPr>
        <w:t xml:space="preserve">=  </w:t>
      </w:r>
      <m:oMath>
        <m:f>
          <m:fPr>
            <m:ctrlPr>
              <w:rPr>
                <w:rFonts w:ascii="Cambria Math" w:hAnsi="Cambria Math" w:cs="Times New Roman"/>
                <w:i/>
                <w:sz w:val="36"/>
                <w:szCs w:val="32"/>
              </w:rPr>
            </m:ctrlPr>
          </m:fPr>
          <m:num>
            <m:r>
              <w:rPr>
                <w:rFonts w:ascii="Cambria Math" w:hAnsi="Cambria Math" w:cs="Times New Roman"/>
                <w:sz w:val="36"/>
                <w:szCs w:val="32"/>
              </w:rPr>
              <m:t>Рst</m:t>
            </m:r>
          </m:num>
          <m:den>
            <m:nary>
              <m:naryPr>
                <m:chr m:val="∑"/>
                <m:limLoc m:val="undOvr"/>
                <m:subHide m:val="1"/>
                <m:supHide m:val="1"/>
                <m:ctrlPr>
                  <w:rPr>
                    <w:rFonts w:ascii="Cambria Math" w:hAnsi="Cambria Math" w:cs="Times New Roman"/>
                    <w:i/>
                    <w:sz w:val="36"/>
                    <w:szCs w:val="32"/>
                  </w:rPr>
                </m:ctrlPr>
              </m:naryPr>
              <m:sub/>
              <m:sup/>
              <m:e>
                <m:r>
                  <m:rPr>
                    <m:sty m:val="p"/>
                  </m:rPr>
                  <w:rPr>
                    <w:rFonts w:ascii="Cambria Math" w:hAnsi="Cambria Math" w:cs="Times New Roman"/>
                    <w:sz w:val="36"/>
                    <w:szCs w:val="32"/>
                  </w:rPr>
                  <m:t>Б</m:t>
                </m:r>
                <m:r>
                  <m:rPr>
                    <m:sty m:val="p"/>
                  </m:rPr>
                  <w:rPr>
                    <w:rFonts w:ascii="Cambria Math" w:hAnsi="Cambria Math" w:cs="Times New Roman"/>
                    <w:sz w:val="36"/>
                    <w:szCs w:val="32"/>
                    <w:lang w:val="en-US"/>
                  </w:rPr>
                  <m:t>i</m:t>
                </m:r>
              </m:e>
            </m:nary>
          </m:den>
        </m:f>
      </m:oMath>
      <w:r>
        <w:rPr>
          <w:rFonts w:ascii="Times New Roman" w:eastAsiaTheme="minorEastAsia" w:hAnsi="Times New Roman" w:cs="Times New Roman"/>
          <w:sz w:val="36"/>
          <w:szCs w:val="32"/>
        </w:rPr>
        <w:t xml:space="preserve"> * </w:t>
      </w:r>
      <m:oMath>
        <m:f>
          <m:fPr>
            <m:ctrlPr>
              <w:rPr>
                <w:rFonts w:ascii="Cambria Math" w:eastAsiaTheme="minorEastAsia" w:hAnsi="Cambria Math" w:cs="Times New Roman"/>
                <w:sz w:val="36"/>
                <w:szCs w:val="32"/>
              </w:rPr>
            </m:ctrlPr>
          </m:fPr>
          <m:num>
            <m:r>
              <m:rPr>
                <m:sty m:val="p"/>
              </m:rPr>
              <w:rPr>
                <w:rFonts w:ascii="Cambria Math" w:eastAsiaTheme="minorEastAsia" w:hAnsi="Cambria Math" w:cs="Times New Roman"/>
                <w:sz w:val="36"/>
                <w:szCs w:val="32"/>
              </w:rPr>
              <m:t xml:space="preserve">УВi*Бi </m:t>
            </m:r>
          </m:num>
          <m:den>
            <m:r>
              <w:rPr>
                <w:rFonts w:ascii="Cambria Math" w:eastAsiaTheme="minorEastAsia" w:hAnsi="Cambria Math" w:cs="Times New Roman"/>
                <w:sz w:val="36"/>
                <w:szCs w:val="32"/>
              </w:rPr>
              <m:t>Σ(</m:t>
            </m:r>
            <m:r>
              <m:rPr>
                <m:sty m:val="p"/>
              </m:rPr>
              <w:rPr>
                <w:rFonts w:ascii="Cambria Math" w:eastAsiaTheme="minorEastAsia" w:hAnsi="Cambria Math" w:cs="Times New Roman"/>
                <w:sz w:val="36"/>
                <w:szCs w:val="32"/>
              </w:rPr>
              <m:t xml:space="preserve">УВi*Бi )/ΣБ </m:t>
            </m:r>
          </m:den>
        </m:f>
      </m:oMath>
    </w:p>
    <w:p w14:paraId="67227637"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301E0B1A"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0B9CA63C"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w:t>
      </w:r>
      <w:proofErr w:type="spellStart"/>
      <w:r>
        <w:rPr>
          <w:rFonts w:ascii="Times New Roman" w:hAnsi="Times New Roman" w:cs="Times New Roman"/>
          <w:sz w:val="24"/>
          <w:lang w:val="en-US"/>
        </w:rPr>
        <w:t>st</w:t>
      </w:r>
      <w:proofErr w:type="spellEnd"/>
      <w:r>
        <w:rPr>
          <w:rFonts w:ascii="Times New Roman" w:hAnsi="Times New Roman" w:cs="Times New Roman"/>
          <w:sz w:val="24"/>
        </w:rPr>
        <w:t xml:space="preserve"> – средства Резерва, сформированного по итогам квартала для распределения в круглосуточном стационаре;</w:t>
      </w:r>
    </w:p>
    <w:p w14:paraId="13A211B5"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Б</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количество баллов, набранное МО;</w:t>
      </w:r>
    </w:p>
    <w:p w14:paraId="4B8E1249" w14:textId="77777777" w:rsidR="00DF36EB" w:rsidRDefault="00DF36EB" w:rsidP="00DF36EB">
      <w:pPr>
        <w:spacing w:after="0" w:line="240" w:lineRule="auto"/>
        <w:ind w:firstLine="709"/>
        <w:jc w:val="both"/>
        <w:rPr>
          <w:rFonts w:ascii="Times New Roman" w:eastAsiaTheme="minorEastAsia" w:hAnsi="Times New Roman" w:cs="Times New Roman"/>
          <w:sz w:val="24"/>
          <w:szCs w:val="32"/>
        </w:rPr>
      </w:pPr>
      <w:proofErr w:type="spellStart"/>
      <w:r>
        <w:rPr>
          <w:rFonts w:ascii="Times New Roman" w:eastAsiaTheme="minorEastAsia" w:hAnsi="Times New Roman" w:cs="Times New Roman"/>
          <w:sz w:val="24"/>
          <w:szCs w:val="32"/>
        </w:rPr>
        <w:t>УВi</w:t>
      </w:r>
      <w:proofErr w:type="spellEnd"/>
      <w:r>
        <w:rPr>
          <w:rFonts w:ascii="Times New Roman" w:eastAsiaTheme="minorEastAsia" w:hAnsi="Times New Roman" w:cs="Times New Roman"/>
          <w:sz w:val="24"/>
          <w:szCs w:val="32"/>
        </w:rPr>
        <w:t xml:space="preserve"> – удельный вес МО в общем финансировании.</w:t>
      </w:r>
    </w:p>
    <w:p w14:paraId="246069F1" w14:textId="77777777" w:rsidR="00DF36EB" w:rsidRDefault="00DF36EB" w:rsidP="00DF36EB">
      <w:pPr>
        <w:spacing w:after="0" w:line="240" w:lineRule="auto"/>
        <w:ind w:firstLine="709"/>
        <w:jc w:val="both"/>
        <w:rPr>
          <w:rFonts w:ascii="Times New Roman" w:hAnsi="Times New Roman" w:cs="Times New Roman"/>
          <w:sz w:val="24"/>
        </w:rPr>
      </w:pPr>
    </w:p>
    <w:p w14:paraId="21CCF9DA" w14:textId="77777777" w:rsidR="00DF36EB" w:rsidRDefault="00DF36EB" w:rsidP="00DF36EB">
      <w:pPr>
        <w:pStyle w:val="a5"/>
        <w:numPr>
          <w:ilvl w:val="0"/>
          <w:numId w:val="11"/>
        </w:numPr>
        <w:spacing w:after="0" w:line="240" w:lineRule="auto"/>
        <w:ind w:left="0" w:firstLine="709"/>
        <w:jc w:val="both"/>
        <w:rPr>
          <w:rFonts w:ascii="Times New Roman" w:eastAsiaTheme="minorEastAsia" w:hAnsi="Times New Roman" w:cs="Times New Roman"/>
          <w:sz w:val="28"/>
          <w:szCs w:val="32"/>
        </w:rPr>
      </w:pPr>
      <w:r>
        <w:rPr>
          <w:rFonts w:ascii="Times New Roman" w:eastAsiaTheme="minorEastAsia" w:hAnsi="Times New Roman" w:cs="Times New Roman"/>
          <w:sz w:val="28"/>
          <w:szCs w:val="32"/>
        </w:rPr>
        <w:t>В условиях дневного стационара:</w:t>
      </w:r>
    </w:p>
    <w:p w14:paraId="4F99D59E" w14:textId="77777777" w:rsidR="00DF36EB" w:rsidRDefault="00DF36EB" w:rsidP="00DF36EB">
      <w:pPr>
        <w:spacing w:after="0" w:line="240" w:lineRule="auto"/>
        <w:ind w:firstLine="708"/>
        <w:jc w:val="both"/>
        <w:rPr>
          <w:rFonts w:ascii="Times New Roman" w:eastAsiaTheme="minorEastAsia" w:hAnsi="Times New Roman" w:cs="Times New Roman"/>
          <w:sz w:val="36"/>
          <w:szCs w:val="32"/>
        </w:rPr>
      </w:pPr>
      <w:r>
        <w:rPr>
          <w:rFonts w:ascii="Times New Roman" w:hAnsi="Times New Roman" w:cs="Times New Roman"/>
          <w:sz w:val="36"/>
          <w:szCs w:val="32"/>
        </w:rPr>
        <w:t>СВ</w:t>
      </w:r>
      <w:proofErr w:type="spellStart"/>
      <w:r>
        <w:rPr>
          <w:rFonts w:ascii="Times New Roman" w:hAnsi="Times New Roman" w:cs="Times New Roman"/>
          <w:sz w:val="36"/>
          <w:szCs w:val="32"/>
          <w:lang w:val="en-US"/>
        </w:rPr>
        <w:t>i</w:t>
      </w:r>
      <w:proofErr w:type="spellEnd"/>
      <w:r w:rsidRPr="00DF36EB">
        <w:rPr>
          <w:rFonts w:ascii="Times New Roman" w:hAnsi="Times New Roman" w:cs="Times New Roman"/>
          <w:sz w:val="36"/>
          <w:szCs w:val="32"/>
        </w:rPr>
        <w:t xml:space="preserve"> </w:t>
      </w:r>
      <w:r>
        <w:rPr>
          <w:rFonts w:ascii="Times New Roman" w:eastAsiaTheme="minorEastAsia" w:hAnsi="Times New Roman" w:cs="Times New Roman"/>
          <w:sz w:val="36"/>
          <w:szCs w:val="32"/>
        </w:rPr>
        <w:t xml:space="preserve">=  </w:t>
      </w:r>
      <m:oMath>
        <m:f>
          <m:fPr>
            <m:ctrlPr>
              <w:rPr>
                <w:rFonts w:ascii="Cambria Math" w:hAnsi="Cambria Math" w:cs="Times New Roman"/>
                <w:i/>
                <w:sz w:val="36"/>
                <w:szCs w:val="32"/>
              </w:rPr>
            </m:ctrlPr>
          </m:fPr>
          <m:num>
            <m:r>
              <w:rPr>
                <w:rFonts w:ascii="Cambria Math" w:hAnsi="Cambria Math" w:cs="Times New Roman"/>
                <w:sz w:val="36"/>
                <w:szCs w:val="32"/>
              </w:rPr>
              <m:t>Рds</m:t>
            </m:r>
          </m:num>
          <m:den>
            <m:nary>
              <m:naryPr>
                <m:chr m:val="∑"/>
                <m:limLoc m:val="undOvr"/>
                <m:subHide m:val="1"/>
                <m:supHide m:val="1"/>
                <m:ctrlPr>
                  <w:rPr>
                    <w:rFonts w:ascii="Cambria Math" w:hAnsi="Cambria Math" w:cs="Times New Roman"/>
                    <w:i/>
                    <w:sz w:val="36"/>
                    <w:szCs w:val="32"/>
                  </w:rPr>
                </m:ctrlPr>
              </m:naryPr>
              <m:sub/>
              <m:sup/>
              <m:e>
                <m:r>
                  <m:rPr>
                    <m:sty m:val="p"/>
                  </m:rPr>
                  <w:rPr>
                    <w:rFonts w:ascii="Cambria Math" w:hAnsi="Cambria Math" w:cs="Times New Roman"/>
                    <w:sz w:val="36"/>
                    <w:szCs w:val="32"/>
                  </w:rPr>
                  <m:t>Б</m:t>
                </m:r>
                <m:r>
                  <m:rPr>
                    <m:sty m:val="p"/>
                  </m:rPr>
                  <w:rPr>
                    <w:rFonts w:ascii="Cambria Math" w:hAnsi="Cambria Math" w:cs="Times New Roman"/>
                    <w:sz w:val="36"/>
                    <w:szCs w:val="32"/>
                    <w:lang w:val="en-US"/>
                  </w:rPr>
                  <m:t>i</m:t>
                </m:r>
              </m:e>
            </m:nary>
          </m:den>
        </m:f>
      </m:oMath>
      <w:r>
        <w:rPr>
          <w:rFonts w:ascii="Times New Roman" w:eastAsiaTheme="minorEastAsia" w:hAnsi="Times New Roman" w:cs="Times New Roman"/>
          <w:sz w:val="36"/>
          <w:szCs w:val="32"/>
        </w:rPr>
        <w:t xml:space="preserve"> * </w:t>
      </w:r>
      <m:oMath>
        <m:f>
          <m:fPr>
            <m:ctrlPr>
              <w:rPr>
                <w:rFonts w:ascii="Cambria Math" w:eastAsiaTheme="minorEastAsia" w:hAnsi="Cambria Math" w:cs="Times New Roman"/>
                <w:sz w:val="36"/>
                <w:szCs w:val="32"/>
              </w:rPr>
            </m:ctrlPr>
          </m:fPr>
          <m:num>
            <m:r>
              <m:rPr>
                <m:sty m:val="p"/>
              </m:rPr>
              <w:rPr>
                <w:rFonts w:ascii="Cambria Math" w:eastAsiaTheme="minorEastAsia" w:hAnsi="Cambria Math" w:cs="Times New Roman"/>
                <w:sz w:val="36"/>
                <w:szCs w:val="32"/>
              </w:rPr>
              <m:t xml:space="preserve">УВi*Бi </m:t>
            </m:r>
          </m:num>
          <m:den>
            <m:r>
              <w:rPr>
                <w:rFonts w:ascii="Cambria Math" w:eastAsiaTheme="minorEastAsia" w:hAnsi="Cambria Math" w:cs="Times New Roman"/>
                <w:sz w:val="36"/>
                <w:szCs w:val="32"/>
              </w:rPr>
              <m:t>Σ(</m:t>
            </m:r>
            <m:r>
              <m:rPr>
                <m:sty m:val="p"/>
              </m:rPr>
              <w:rPr>
                <w:rFonts w:ascii="Cambria Math" w:eastAsiaTheme="minorEastAsia" w:hAnsi="Cambria Math" w:cs="Times New Roman"/>
                <w:sz w:val="36"/>
                <w:szCs w:val="32"/>
              </w:rPr>
              <m:t xml:space="preserve">УВi*Бi )/ΣБ </m:t>
            </m:r>
          </m:den>
        </m:f>
      </m:oMath>
    </w:p>
    <w:p w14:paraId="5BA4FBCB"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635C7C13"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6E10E33B"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Р</w:t>
      </w:r>
      <w:r>
        <w:rPr>
          <w:rFonts w:ascii="Times New Roman" w:hAnsi="Times New Roman" w:cs="Times New Roman"/>
          <w:sz w:val="24"/>
          <w:lang w:val="en-US"/>
        </w:rPr>
        <w:t>ds</w:t>
      </w:r>
      <w:r>
        <w:rPr>
          <w:rFonts w:ascii="Times New Roman" w:hAnsi="Times New Roman" w:cs="Times New Roman"/>
          <w:sz w:val="24"/>
        </w:rPr>
        <w:t xml:space="preserve"> – средства Резерва, сформированного по итогам квартала для распределения в дневном стационаре;</w:t>
      </w:r>
    </w:p>
    <w:p w14:paraId="18EA31B7"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Б</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количество баллов, набранное МО;</w:t>
      </w:r>
    </w:p>
    <w:p w14:paraId="6B8206E1" w14:textId="77777777" w:rsidR="00DF36EB" w:rsidRDefault="00DF36EB" w:rsidP="00DF36EB">
      <w:pPr>
        <w:spacing w:after="0" w:line="240" w:lineRule="auto"/>
        <w:ind w:firstLine="709"/>
        <w:jc w:val="both"/>
        <w:rPr>
          <w:rFonts w:ascii="Times New Roman" w:eastAsiaTheme="minorEastAsia" w:hAnsi="Times New Roman" w:cs="Times New Roman"/>
          <w:sz w:val="24"/>
          <w:szCs w:val="32"/>
        </w:rPr>
      </w:pPr>
      <w:proofErr w:type="spellStart"/>
      <w:r>
        <w:rPr>
          <w:rFonts w:ascii="Times New Roman" w:eastAsiaTheme="minorEastAsia" w:hAnsi="Times New Roman" w:cs="Times New Roman"/>
          <w:sz w:val="24"/>
          <w:szCs w:val="32"/>
        </w:rPr>
        <w:t>УВi</w:t>
      </w:r>
      <w:proofErr w:type="spellEnd"/>
      <w:r>
        <w:rPr>
          <w:rFonts w:ascii="Times New Roman" w:eastAsiaTheme="minorEastAsia" w:hAnsi="Times New Roman" w:cs="Times New Roman"/>
          <w:sz w:val="24"/>
          <w:szCs w:val="32"/>
        </w:rPr>
        <w:t xml:space="preserve"> – удельный вес МО в общем финансировании.</w:t>
      </w:r>
    </w:p>
    <w:p w14:paraId="764ED7ED" w14:textId="77777777" w:rsidR="00DF36EB" w:rsidRDefault="00DF36EB" w:rsidP="00DF36EB">
      <w:pPr>
        <w:spacing w:after="0" w:line="240" w:lineRule="auto"/>
        <w:ind w:firstLine="709"/>
        <w:jc w:val="both"/>
        <w:rPr>
          <w:rFonts w:ascii="Times New Roman" w:hAnsi="Times New Roman" w:cs="Times New Roman"/>
          <w:sz w:val="24"/>
        </w:rPr>
      </w:pPr>
    </w:p>
    <w:p w14:paraId="49BE9868"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FE9AA9E" w14:textId="77777777" w:rsidR="00DF36EB" w:rsidRDefault="00DF36EB" w:rsidP="00DF36EB">
      <w:pPr>
        <w:spacing w:after="0" w:line="240" w:lineRule="auto"/>
        <w:ind w:firstLine="709"/>
        <w:jc w:val="both"/>
        <w:rPr>
          <w:rFonts w:ascii="Times New Roman" w:eastAsiaTheme="minorEastAsia" w:hAnsi="Times New Roman" w:cs="Times New Roman"/>
          <w:sz w:val="36"/>
        </w:rPr>
      </w:pPr>
      <w:proofErr w:type="spellStart"/>
      <w:r>
        <w:rPr>
          <w:rFonts w:ascii="Times New Roman" w:hAnsi="Times New Roman" w:cs="Times New Roman"/>
          <w:sz w:val="36"/>
        </w:rPr>
        <w:t>Кп</w:t>
      </w:r>
      <w:proofErr w:type="spellEnd"/>
      <w:r>
        <w:rPr>
          <w:rFonts w:ascii="Times New Roman" w:hAnsi="Times New Roman" w:cs="Times New Roman"/>
          <w:sz w:val="36"/>
        </w:rPr>
        <w:t xml:space="preserve"> = </w:t>
      </w:r>
      <m:oMath>
        <m:f>
          <m:fPr>
            <m:ctrlPr>
              <w:rPr>
                <w:rFonts w:ascii="Cambria Math" w:hAnsi="Cambria Math" w:cs="Times New Roman"/>
                <w:i/>
                <w:sz w:val="36"/>
                <w:szCs w:val="36"/>
              </w:rPr>
            </m:ctrlPr>
          </m:fPr>
          <m:num>
            <m:r>
              <m:rPr>
                <m:sty m:val="p"/>
              </m:rPr>
              <w:rPr>
                <w:rFonts w:ascii="Cambria Math" w:hAnsi="Cambria Math" w:cs="Times New Roman"/>
                <w:sz w:val="36"/>
              </w:rPr>
              <m:t>Р</m:t>
            </m:r>
            <m:r>
              <m:rPr>
                <m:sty m:val="p"/>
              </m:rPr>
              <w:rPr>
                <w:rFonts w:ascii="Cambria Math" w:hAnsi="Cambria Math" w:cs="Times New Roman"/>
                <w:sz w:val="36"/>
                <w:lang w:val="en-US"/>
              </w:rPr>
              <m:t>l</m:t>
            </m:r>
            <m:r>
              <m:rPr>
                <m:sty m:val="p"/>
              </m:rPr>
              <w:rPr>
                <w:rFonts w:ascii="Cambria Math" w:hAnsi="Cambria Math" w:cs="Times New Roman"/>
                <w:sz w:val="36"/>
              </w:rPr>
              <m:t xml:space="preserve"> </m:t>
            </m:r>
          </m:num>
          <m:den>
            <m:nary>
              <m:naryPr>
                <m:chr m:val="∑"/>
                <m:limLoc m:val="undOvr"/>
                <m:subHide m:val="1"/>
                <m:supHide m:val="1"/>
                <m:ctrlPr>
                  <w:rPr>
                    <w:rFonts w:ascii="Cambria Math" w:hAnsi="Cambria Math" w:cs="Times New Roman"/>
                    <w:i/>
                    <w:sz w:val="36"/>
                    <w:szCs w:val="36"/>
                  </w:rPr>
                </m:ctrlPr>
              </m:naryPr>
              <m:sub/>
              <m:sup/>
              <m:e>
                <m:r>
                  <m:rPr>
                    <m:sty m:val="p"/>
                  </m:rPr>
                  <w:rPr>
                    <w:rFonts w:ascii="Cambria Math" w:hAnsi="Cambria Math" w:cs="Times New Roman"/>
                    <w:sz w:val="36"/>
                  </w:rPr>
                  <m:t>СВ</m:t>
                </m:r>
                <m:r>
                  <m:rPr>
                    <m:sty m:val="p"/>
                  </m:rPr>
                  <w:rPr>
                    <w:rFonts w:ascii="Cambria Math" w:hAnsi="Cambria Math" w:cs="Times New Roman"/>
                    <w:sz w:val="36"/>
                    <w:lang w:val="en-US"/>
                  </w:rPr>
                  <m:t>i</m:t>
                </m:r>
              </m:e>
            </m:nary>
          </m:den>
        </m:f>
      </m:oMath>
    </w:p>
    <w:p w14:paraId="32434B43" w14:textId="77777777" w:rsidR="00DF36EB" w:rsidRDefault="00DF36EB" w:rsidP="00DF36EB">
      <w:pPr>
        <w:spacing w:after="0" w:line="240" w:lineRule="auto"/>
        <w:ind w:firstLine="709"/>
        <w:jc w:val="both"/>
        <w:rPr>
          <w:rFonts w:ascii="Times New Roman" w:hAnsi="Times New Roman" w:cs="Times New Roman"/>
          <w:sz w:val="24"/>
        </w:rPr>
      </w:pPr>
    </w:p>
    <w:p w14:paraId="5AAB1757"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где</w:t>
      </w:r>
    </w:p>
    <w:p w14:paraId="70AB41D0" w14:textId="77777777" w:rsidR="00DF36EB" w:rsidRDefault="00DF36EB" w:rsidP="00DF36EB">
      <w:pPr>
        <w:spacing w:after="0" w:line="240" w:lineRule="auto"/>
        <w:ind w:firstLine="709"/>
        <w:jc w:val="both"/>
        <w:rPr>
          <w:rFonts w:ascii="Times New Roman" w:hAnsi="Times New Roman" w:cs="Times New Roman"/>
          <w:sz w:val="24"/>
        </w:rPr>
      </w:pPr>
      <w:proofErr w:type="spellStart"/>
      <w:r>
        <w:rPr>
          <w:rFonts w:ascii="Times New Roman" w:hAnsi="Times New Roman" w:cs="Times New Roman"/>
          <w:sz w:val="24"/>
        </w:rPr>
        <w:t>Кп</w:t>
      </w:r>
      <w:proofErr w:type="spellEnd"/>
      <w:r>
        <w:rPr>
          <w:rFonts w:ascii="Times New Roman" w:hAnsi="Times New Roman" w:cs="Times New Roman"/>
          <w:sz w:val="24"/>
        </w:rPr>
        <w:t xml:space="preserve"> - поправочный коэффициент;</w:t>
      </w:r>
    </w:p>
    <w:p w14:paraId="7508C743"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w:t>
      </w:r>
      <w:r>
        <w:rPr>
          <w:rFonts w:ascii="Times New Roman" w:hAnsi="Times New Roman" w:cs="Times New Roman"/>
          <w:sz w:val="24"/>
          <w:lang w:val="en-US"/>
        </w:rPr>
        <w:t>l</w:t>
      </w:r>
      <w:r>
        <w:rPr>
          <w:rFonts w:ascii="Times New Roman" w:hAnsi="Times New Roman" w:cs="Times New Roman"/>
          <w:sz w:val="24"/>
        </w:rPr>
        <w:t xml:space="preserve"> – средства Резерва, сформированного по итогам квартала для распределения в группе </w:t>
      </w:r>
      <w:r>
        <w:rPr>
          <w:rFonts w:ascii="Times New Roman" w:hAnsi="Times New Roman" w:cs="Times New Roman"/>
          <w:sz w:val="24"/>
          <w:lang w:val="en-US"/>
        </w:rPr>
        <w:t>l</w:t>
      </w:r>
      <w:r>
        <w:rPr>
          <w:rFonts w:ascii="Times New Roman" w:hAnsi="Times New Roman" w:cs="Times New Roman"/>
          <w:sz w:val="24"/>
        </w:rPr>
        <w:t>;</w:t>
      </w:r>
    </w:p>
    <w:p w14:paraId="6CD15B89"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СВ</w:t>
      </w:r>
      <w:proofErr w:type="spellStart"/>
      <w:r>
        <w:rPr>
          <w:rFonts w:ascii="Times New Roman" w:hAnsi="Times New Roman" w:cs="Times New Roman"/>
          <w:sz w:val="24"/>
          <w:lang w:val="en-US"/>
        </w:rPr>
        <w:t>i</w:t>
      </w:r>
      <w:proofErr w:type="spellEnd"/>
      <w:r>
        <w:rPr>
          <w:rFonts w:ascii="Times New Roman" w:hAnsi="Times New Roman" w:cs="Times New Roman"/>
          <w:sz w:val="24"/>
        </w:rPr>
        <w:t xml:space="preserve"> - размер стимулирующих выплат по итогам квартала для </w:t>
      </w:r>
      <w:proofErr w:type="spellStart"/>
      <w:r>
        <w:rPr>
          <w:rFonts w:ascii="Times New Roman" w:hAnsi="Times New Roman" w:cs="Times New Roman"/>
          <w:sz w:val="24"/>
          <w:lang w:val="en-US"/>
        </w:rPr>
        <w:t>i</w:t>
      </w:r>
      <w:proofErr w:type="spellEnd"/>
      <w:r>
        <w:rPr>
          <w:rFonts w:ascii="Times New Roman" w:hAnsi="Times New Roman" w:cs="Times New Roman"/>
          <w:sz w:val="24"/>
        </w:rPr>
        <w:t>-той медицинской организации.</w:t>
      </w:r>
    </w:p>
    <w:p w14:paraId="36B17CE6"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7777777" w:rsidR="00DF36EB" w:rsidRDefault="00DF36EB" w:rsidP="00DF36EB">
      <w:pPr>
        <w:spacing w:after="0" w:line="240" w:lineRule="auto"/>
        <w:ind w:firstLine="709"/>
        <w:jc w:val="both"/>
        <w:rPr>
          <w:rFonts w:ascii="Times New Roman" w:hAnsi="Times New Roman" w:cs="Times New Roman"/>
          <w:sz w:val="24"/>
        </w:rPr>
      </w:pPr>
    </w:p>
    <w:p w14:paraId="34A5776B" w14:textId="059E761E" w:rsidR="00AA35A4" w:rsidRDefault="00AA35A4" w:rsidP="00DF36EB">
      <w:pPr>
        <w:ind w:firstLine="708"/>
        <w:jc w:val="center"/>
        <w:rPr>
          <w:rFonts w:ascii="Times New Roman" w:hAnsi="Times New Roman" w:cs="Times New Roman"/>
          <w:sz w:val="24"/>
        </w:rPr>
      </w:pPr>
    </w:p>
    <w:sectPr w:rsidR="00AA35A4" w:rsidSect="00A424B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6"/>
  </w:num>
  <w:num w:numId="2">
    <w:abstractNumId w:val="3"/>
  </w:num>
  <w:num w:numId="3">
    <w:abstractNumId w:val="5"/>
  </w:num>
  <w:num w:numId="4">
    <w:abstractNumId w:val="7"/>
  </w:num>
  <w:num w:numId="5">
    <w:abstractNumId w:val="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82F"/>
    <w:rsid w:val="00036458"/>
    <w:rsid w:val="00042A50"/>
    <w:rsid w:val="00053178"/>
    <w:rsid w:val="0005482F"/>
    <w:rsid w:val="00055017"/>
    <w:rsid w:val="000740FA"/>
    <w:rsid w:val="000B3C10"/>
    <w:rsid w:val="000C5146"/>
    <w:rsid w:val="000C5B40"/>
    <w:rsid w:val="00104861"/>
    <w:rsid w:val="00110008"/>
    <w:rsid w:val="001414A5"/>
    <w:rsid w:val="00197878"/>
    <w:rsid w:val="001A0E8C"/>
    <w:rsid w:val="00200B49"/>
    <w:rsid w:val="00211940"/>
    <w:rsid w:val="00283BF1"/>
    <w:rsid w:val="002D630C"/>
    <w:rsid w:val="002F5E0E"/>
    <w:rsid w:val="0031117E"/>
    <w:rsid w:val="003236F7"/>
    <w:rsid w:val="00391B2A"/>
    <w:rsid w:val="003E7112"/>
    <w:rsid w:val="004668CB"/>
    <w:rsid w:val="00492658"/>
    <w:rsid w:val="004A4CB7"/>
    <w:rsid w:val="004B0A3B"/>
    <w:rsid w:val="00505BCC"/>
    <w:rsid w:val="00525C8E"/>
    <w:rsid w:val="00570BC9"/>
    <w:rsid w:val="00572EE9"/>
    <w:rsid w:val="00580A0A"/>
    <w:rsid w:val="005D0EE5"/>
    <w:rsid w:val="00622E19"/>
    <w:rsid w:val="00660CC7"/>
    <w:rsid w:val="00672A45"/>
    <w:rsid w:val="00694D3F"/>
    <w:rsid w:val="0069739E"/>
    <w:rsid w:val="006A4218"/>
    <w:rsid w:val="006C724A"/>
    <w:rsid w:val="006D2C55"/>
    <w:rsid w:val="00751253"/>
    <w:rsid w:val="007B0ED9"/>
    <w:rsid w:val="0080615E"/>
    <w:rsid w:val="008269B4"/>
    <w:rsid w:val="008831C5"/>
    <w:rsid w:val="008C0143"/>
    <w:rsid w:val="008C0BD8"/>
    <w:rsid w:val="008D3F46"/>
    <w:rsid w:val="008F537A"/>
    <w:rsid w:val="00915866"/>
    <w:rsid w:val="00922709"/>
    <w:rsid w:val="0092487E"/>
    <w:rsid w:val="00936C7D"/>
    <w:rsid w:val="00942ED9"/>
    <w:rsid w:val="00A424B6"/>
    <w:rsid w:val="00A63FFD"/>
    <w:rsid w:val="00A91C8E"/>
    <w:rsid w:val="00AA35A4"/>
    <w:rsid w:val="00AA4E33"/>
    <w:rsid w:val="00B02FD1"/>
    <w:rsid w:val="00B20040"/>
    <w:rsid w:val="00B36657"/>
    <w:rsid w:val="00B44EBE"/>
    <w:rsid w:val="00B53A3A"/>
    <w:rsid w:val="00B63E63"/>
    <w:rsid w:val="00B934E0"/>
    <w:rsid w:val="00BC6600"/>
    <w:rsid w:val="00BD06B3"/>
    <w:rsid w:val="00BD1A3C"/>
    <w:rsid w:val="00C17368"/>
    <w:rsid w:val="00C659BA"/>
    <w:rsid w:val="00C860C8"/>
    <w:rsid w:val="00CE5CAE"/>
    <w:rsid w:val="00D13274"/>
    <w:rsid w:val="00D34A06"/>
    <w:rsid w:val="00D44458"/>
    <w:rsid w:val="00DB408E"/>
    <w:rsid w:val="00DE5684"/>
    <w:rsid w:val="00DF36EB"/>
    <w:rsid w:val="00E25119"/>
    <w:rsid w:val="00EB4F4B"/>
    <w:rsid w:val="00EB6DA7"/>
    <w:rsid w:val="00EF0C36"/>
    <w:rsid w:val="00EF3EF6"/>
    <w:rsid w:val="00F104D8"/>
    <w:rsid w:val="00FA0C58"/>
    <w:rsid w:val="00FB2685"/>
    <w:rsid w:val="00FB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7</Pages>
  <Words>2788</Words>
  <Characters>15897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Штерц Николай Константинович</cp:lastModifiedBy>
  <cp:revision>22</cp:revision>
  <cp:lastPrinted>2019-10-11T12:07:00Z</cp:lastPrinted>
  <dcterms:created xsi:type="dcterms:W3CDTF">2019-03-26T06:21:00Z</dcterms:created>
  <dcterms:modified xsi:type="dcterms:W3CDTF">2021-04-20T07:45:00Z</dcterms:modified>
</cp:coreProperties>
</file>